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707FD">
      <w:pPr>
        <w:pStyle w:val="2"/>
        <w:ind w:firstLine="0" w:firstLineChars="0"/>
        <w:rPr>
          <w:b/>
          <w:bCs/>
        </w:rPr>
      </w:pPr>
      <w:bookmarkStart w:id="0" w:name="_Toc195192822"/>
      <w:r>
        <w:rPr>
          <w:rFonts w:hint="eastAsia"/>
          <w:b/>
          <w:bCs/>
        </w:rPr>
        <w:t>招标公告</w:t>
      </w:r>
      <w:bookmarkEnd w:id="0"/>
      <w:bookmarkStart w:id="5" w:name="_GoBack"/>
      <w:bookmarkEnd w:id="5"/>
    </w:p>
    <w:p w14:paraId="70E74D09">
      <w:pPr>
        <w:ind w:firstLine="480"/>
      </w:pPr>
      <w:bookmarkStart w:id="1" w:name="_Hlk180684245"/>
      <w:r>
        <w:rPr>
          <w:rFonts w:hint="eastAsia"/>
        </w:rPr>
        <w:t>山东济钢航空航天精工制造有限公司就“济钢空天精工2026年度生产原材料、备品配件、外协工序三项框架入围项目”进行公开招标，欢迎有意向单位参与投标。有关事项如下：</w:t>
      </w:r>
    </w:p>
    <w:p w14:paraId="773158A0">
      <w:pPr>
        <w:ind w:firstLine="480"/>
      </w:pPr>
      <w:r>
        <w:rPr>
          <w:rFonts w:hint="eastAsia"/>
        </w:rPr>
        <w:t>招标人采用公开招标方式邀请有意向的合格投标人（以下简称“投标人”）就济钢空天精工2026年度生产生产原材料、备品配件、外协工序三项框架入围项目，提交密封的、有竞争性的投标文件。</w:t>
      </w:r>
    </w:p>
    <w:p w14:paraId="5FDC036B">
      <w:pPr>
        <w:ind w:firstLine="480"/>
      </w:pPr>
      <w:r>
        <w:rPr>
          <w:rFonts w:hint="eastAsia"/>
        </w:rPr>
        <w:t>本次框架入围招标采购是指：通过公开招标，集中确定若干家入围供应商，建立2026年度生产原材料、备品配件、外协工序三项供应商库。招标人有具体生产原材料、备品配件、外协工序采购需求时，将从入围供应商中采用竞争性谈判或询比价方式确定成交供应商，经审批备案后签订正式采购合同。入围供应商须按照后续项目要求提供相应原材料、备品配件、外协工序，招标人根据合同实际情况结算价款。</w:t>
      </w:r>
    </w:p>
    <w:p w14:paraId="62187E3E">
      <w:pPr>
        <w:pStyle w:val="3"/>
      </w:pPr>
      <w:r>
        <w:rPr>
          <w:rStyle w:val="33"/>
          <w:rFonts w:hint="eastAsia"/>
          <w:b/>
          <w:bCs/>
          <w:sz w:val="24"/>
        </w:rPr>
        <w:t>一、项目编号</w:t>
      </w:r>
      <w:r>
        <w:rPr>
          <w:rFonts w:hint="eastAsia"/>
        </w:rPr>
        <w:t>：</w:t>
      </w:r>
      <w:r>
        <w:rPr>
          <w:rFonts w:ascii="微软雅黑" w:hAnsi="微软雅黑" w:eastAsia="微软雅黑" w:cs="微软雅黑"/>
          <w:color w:val="666666"/>
          <w:sz w:val="27"/>
          <w:szCs w:val="27"/>
        </w:rPr>
        <w:t>1131260726001</w:t>
      </w:r>
    </w:p>
    <w:p w14:paraId="0E3B1F8B">
      <w:pPr>
        <w:pStyle w:val="3"/>
      </w:pPr>
      <w:r>
        <w:rPr>
          <w:rStyle w:val="33"/>
          <w:rFonts w:hint="eastAsia"/>
          <w:b/>
          <w:bCs/>
          <w:sz w:val="24"/>
        </w:rPr>
        <w:t>二、项目名称</w:t>
      </w:r>
      <w:r>
        <w:rPr>
          <w:rFonts w:hint="eastAsia"/>
        </w:rPr>
        <w:t>：济钢空天精工2026年度生产原材料、备品配件、外协工序框架入围项目</w:t>
      </w:r>
    </w:p>
    <w:p w14:paraId="76D56A0D">
      <w:pPr>
        <w:pStyle w:val="3"/>
      </w:pPr>
      <w:r>
        <w:rPr>
          <w:rFonts w:hint="eastAsia"/>
        </w:rPr>
        <w:t>三、项目概况及内容</w:t>
      </w:r>
    </w:p>
    <w:p w14:paraId="73740DA8">
      <w:pPr>
        <w:ind w:firstLine="480"/>
      </w:pPr>
      <w:r>
        <w:rPr>
          <w:rFonts w:hint="eastAsia"/>
        </w:rPr>
        <w:t>1、济钢空天精工2026年度生产原材料、备品配件、外协工序框架入围项目。</w:t>
      </w:r>
    </w:p>
    <w:p w14:paraId="793E4855">
      <w:pPr>
        <w:ind w:firstLine="480"/>
      </w:pPr>
      <w:r>
        <w:rPr>
          <w:rFonts w:hint="eastAsia"/>
        </w:rPr>
        <w:t>2、项目内容：2026年度生产原材料、备品配件、外协工序的采购</w:t>
      </w:r>
      <w:r>
        <w:t>。主要内容包括</w:t>
      </w:r>
      <w:r>
        <w:rPr>
          <w:rFonts w:hint="eastAsia"/>
        </w:rPr>
        <w:t>依据采购需求，对应提供高质量原材料、备品配件、外协工序。</w:t>
      </w:r>
    </w:p>
    <w:p w14:paraId="2C844DE8">
      <w:pPr>
        <w:pStyle w:val="13"/>
        <w:rPr>
          <w:rFonts w:hAnsi="宋体" w:cs="宋体"/>
          <w:kern w:val="1"/>
        </w:rPr>
      </w:pPr>
      <w:r>
        <w:rPr>
          <w:rFonts w:hint="eastAsia" w:hAnsi="宋体" w:cs="宋体"/>
          <w:kern w:val="1"/>
        </w:rPr>
        <w:t>A</w:t>
      </w:r>
      <w:r>
        <w:rPr>
          <w:rFonts w:hint="eastAsia" w:ascii="仿宋_GB2312" w:hAnsi="仿宋_GB2312" w:eastAsia="仿宋_GB2312" w:cs="仿宋_GB2312"/>
          <w:kern w:val="0"/>
          <w:szCs w:val="21"/>
        </w:rPr>
        <w:t>类</w:t>
      </w:r>
      <w:r>
        <w:rPr>
          <w:rFonts w:hint="eastAsia" w:hAnsi="宋体" w:cs="宋体"/>
          <w:kern w:val="1"/>
        </w:rPr>
        <w:t>：</w:t>
      </w:r>
    </w:p>
    <w:tbl>
      <w:tblPr>
        <w:tblStyle w:val="26"/>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1230"/>
        <w:gridCol w:w="1654"/>
        <w:gridCol w:w="4420"/>
      </w:tblGrid>
      <w:tr w14:paraId="7372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706" w:type="pct"/>
            <w:vAlign w:val="center"/>
          </w:tcPr>
          <w:p w14:paraId="205490C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类别</w:t>
            </w:r>
          </w:p>
        </w:tc>
        <w:tc>
          <w:tcPr>
            <w:tcW w:w="723" w:type="pct"/>
            <w:vAlign w:val="center"/>
          </w:tcPr>
          <w:p w14:paraId="3AFBA51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物资名称</w:t>
            </w:r>
          </w:p>
        </w:tc>
        <w:tc>
          <w:tcPr>
            <w:tcW w:w="972" w:type="pct"/>
            <w:vAlign w:val="center"/>
          </w:tcPr>
          <w:p w14:paraId="1262426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大类</w:t>
            </w:r>
          </w:p>
        </w:tc>
        <w:tc>
          <w:tcPr>
            <w:tcW w:w="2597" w:type="pct"/>
            <w:vAlign w:val="center"/>
          </w:tcPr>
          <w:p w14:paraId="78BCD11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具体牌号</w:t>
            </w:r>
          </w:p>
        </w:tc>
      </w:tr>
      <w:tr w14:paraId="0A60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6" w:type="pct"/>
            <w:vMerge w:val="restart"/>
            <w:vAlign w:val="center"/>
          </w:tcPr>
          <w:p w14:paraId="2007AC3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A类</w:t>
            </w:r>
          </w:p>
        </w:tc>
        <w:tc>
          <w:tcPr>
            <w:tcW w:w="723" w:type="pct"/>
            <w:vMerge w:val="restart"/>
            <w:vAlign w:val="center"/>
          </w:tcPr>
          <w:p w14:paraId="5BD1B79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生产原材料</w:t>
            </w:r>
          </w:p>
        </w:tc>
        <w:tc>
          <w:tcPr>
            <w:tcW w:w="972" w:type="pct"/>
            <w:vAlign w:val="center"/>
          </w:tcPr>
          <w:p w14:paraId="19849C8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A1包：铝合金</w:t>
            </w:r>
          </w:p>
        </w:tc>
        <w:tc>
          <w:tcPr>
            <w:tcW w:w="2597" w:type="pct"/>
            <w:vAlign w:val="center"/>
          </w:tcPr>
          <w:p w14:paraId="4AA41C2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仿宋_GB2312"/>
                <w:kern w:val="0"/>
                <w:sz w:val="21"/>
                <w:szCs w:val="21"/>
              </w:rPr>
              <w:t>板材、棒材、型材：6061-T6/T651、2A12、2A14、</w:t>
            </w:r>
            <w:r>
              <w:rPr>
                <w:rFonts w:ascii="宋体" w:hAnsi="宋体" w:cs="宋体"/>
                <w:sz w:val="21"/>
                <w:szCs w:val="21"/>
              </w:rPr>
              <w:t>6063-T5/T6</w:t>
            </w:r>
            <w:r>
              <w:rPr>
                <w:rFonts w:hint="eastAsia" w:ascii="宋体" w:hAnsi="宋体" w:cs="宋体"/>
                <w:sz w:val="21"/>
                <w:szCs w:val="21"/>
              </w:rPr>
              <w:t>、</w:t>
            </w:r>
            <w:r>
              <w:rPr>
                <w:rFonts w:ascii="宋体" w:hAnsi="宋体" w:cs="宋体"/>
                <w:sz w:val="21"/>
                <w:szCs w:val="21"/>
              </w:rPr>
              <w:t>7075-T6/T651</w:t>
            </w:r>
            <w:r>
              <w:rPr>
                <w:rFonts w:hint="eastAsia" w:ascii="宋体" w:hAnsi="宋体" w:cs="宋体"/>
                <w:sz w:val="21"/>
                <w:szCs w:val="21"/>
              </w:rPr>
              <w:t>、</w:t>
            </w:r>
            <w:r>
              <w:rPr>
                <w:rFonts w:ascii="宋体" w:hAnsi="宋体" w:cs="宋体"/>
                <w:sz w:val="21"/>
                <w:szCs w:val="21"/>
              </w:rPr>
              <w:t>7050-T7451</w:t>
            </w:r>
            <w:r>
              <w:rPr>
                <w:rFonts w:hint="eastAsia" w:ascii="宋体" w:hAnsi="宋体" w:cs="宋体"/>
                <w:sz w:val="21"/>
                <w:szCs w:val="21"/>
              </w:rPr>
              <w:t>、2024、5083等</w:t>
            </w:r>
          </w:p>
        </w:tc>
      </w:tr>
      <w:tr w14:paraId="53DF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6" w:type="pct"/>
            <w:vMerge w:val="continue"/>
            <w:vAlign w:val="center"/>
          </w:tcPr>
          <w:p w14:paraId="7DD216E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723" w:type="pct"/>
            <w:vMerge w:val="continue"/>
            <w:vAlign w:val="center"/>
          </w:tcPr>
          <w:p w14:paraId="2D74689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72" w:type="pct"/>
            <w:vAlign w:val="center"/>
          </w:tcPr>
          <w:p w14:paraId="7DF2F93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A2包：钢材</w:t>
            </w:r>
          </w:p>
        </w:tc>
        <w:tc>
          <w:tcPr>
            <w:tcW w:w="2597" w:type="pct"/>
            <w:vAlign w:val="center"/>
          </w:tcPr>
          <w:p w14:paraId="373BB87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仿宋_GB2312"/>
                <w:kern w:val="0"/>
                <w:sz w:val="21"/>
                <w:szCs w:val="21"/>
              </w:rPr>
              <w:t>板材、棒材、型材45#、Q235B、Q355B、Q390B、314、316L、</w:t>
            </w:r>
            <w:r>
              <w:rPr>
                <w:rFonts w:ascii="宋体" w:hAnsi="宋体" w:cs="宋体"/>
                <w:sz w:val="21"/>
                <w:szCs w:val="21"/>
              </w:rPr>
              <w:t>40Cr</w:t>
            </w:r>
            <w:r>
              <w:rPr>
                <w:rFonts w:hint="eastAsia" w:ascii="宋体" w:hAnsi="宋体" w:cs="宋体"/>
                <w:sz w:val="21"/>
                <w:szCs w:val="21"/>
              </w:rPr>
              <w:t>、42</w:t>
            </w:r>
            <w:r>
              <w:rPr>
                <w:rFonts w:ascii="宋体" w:hAnsi="宋体" w:cs="宋体"/>
                <w:sz w:val="21"/>
                <w:szCs w:val="21"/>
              </w:rPr>
              <w:t>CrMo</w:t>
            </w:r>
            <w:r>
              <w:rPr>
                <w:rFonts w:hint="eastAsia" w:ascii="宋体" w:hAnsi="宋体" w:cs="宋体"/>
                <w:sz w:val="21"/>
                <w:szCs w:val="21"/>
              </w:rPr>
              <w:t>等</w:t>
            </w:r>
          </w:p>
        </w:tc>
      </w:tr>
      <w:tr w14:paraId="62E3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6" w:type="pct"/>
            <w:vMerge w:val="continue"/>
            <w:vAlign w:val="center"/>
          </w:tcPr>
          <w:p w14:paraId="58FAEB1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723" w:type="pct"/>
            <w:vMerge w:val="continue"/>
            <w:vAlign w:val="center"/>
          </w:tcPr>
          <w:p w14:paraId="77E6913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72" w:type="pct"/>
            <w:vAlign w:val="center"/>
          </w:tcPr>
          <w:p w14:paraId="2199142E">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A3包：钛合金</w:t>
            </w:r>
          </w:p>
        </w:tc>
        <w:tc>
          <w:tcPr>
            <w:tcW w:w="2597" w:type="pct"/>
            <w:vAlign w:val="center"/>
          </w:tcPr>
          <w:p w14:paraId="4B72278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宋体"/>
                <w:sz w:val="21"/>
                <w:szCs w:val="21"/>
              </w:rPr>
              <w:t>TC4、TC6之外，还有TA1、TA2、TA5、TA15、TB6、TC11</w:t>
            </w:r>
          </w:p>
        </w:tc>
      </w:tr>
      <w:tr w14:paraId="2E15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06" w:type="pct"/>
            <w:vMerge w:val="continue"/>
            <w:vAlign w:val="center"/>
          </w:tcPr>
          <w:p w14:paraId="138B6A9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723" w:type="pct"/>
            <w:vMerge w:val="continue"/>
            <w:vAlign w:val="center"/>
          </w:tcPr>
          <w:p w14:paraId="5926485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72" w:type="pct"/>
            <w:vAlign w:val="center"/>
          </w:tcPr>
          <w:p w14:paraId="187B7B6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A4包：高分子材料</w:t>
            </w:r>
          </w:p>
        </w:tc>
        <w:tc>
          <w:tcPr>
            <w:tcW w:w="2597" w:type="pct"/>
            <w:vAlign w:val="center"/>
          </w:tcPr>
          <w:p w14:paraId="47A9DA8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仿宋_GB2312"/>
                <w:kern w:val="0"/>
                <w:sz w:val="21"/>
                <w:szCs w:val="21"/>
              </w:rPr>
              <w:t>尼龙、聚氨酯、聚酰亚胺、聚醚醚酮、聚酯板等</w:t>
            </w:r>
          </w:p>
        </w:tc>
      </w:tr>
    </w:tbl>
    <w:p w14:paraId="04C81267">
      <w:pPr>
        <w:pStyle w:val="13"/>
        <w:rPr>
          <w:rFonts w:hAnsi="宋体" w:cs="宋体"/>
          <w:kern w:val="1"/>
        </w:rPr>
      </w:pPr>
    </w:p>
    <w:p w14:paraId="5A5E4C55">
      <w:pPr>
        <w:pStyle w:val="13"/>
        <w:rPr>
          <w:rFonts w:hAnsi="宋体" w:cs="宋体"/>
          <w:kern w:val="1"/>
        </w:rPr>
      </w:pPr>
    </w:p>
    <w:p w14:paraId="12DBE66D">
      <w:pPr>
        <w:pStyle w:val="13"/>
        <w:rPr>
          <w:rFonts w:hAnsi="宋体" w:cs="宋体"/>
          <w:kern w:val="1"/>
        </w:rPr>
      </w:pPr>
    </w:p>
    <w:p w14:paraId="00977B8A">
      <w:pPr>
        <w:pStyle w:val="13"/>
        <w:rPr>
          <w:rFonts w:hAnsi="宋体" w:cs="宋体"/>
          <w:kern w:val="1"/>
        </w:rPr>
      </w:pPr>
      <w:r>
        <w:rPr>
          <w:rFonts w:hint="eastAsia" w:hAnsi="宋体" w:cs="宋体"/>
          <w:kern w:val="1"/>
        </w:rPr>
        <w:t>B</w:t>
      </w:r>
      <w:r>
        <w:rPr>
          <w:rFonts w:hint="eastAsia" w:ascii="仿宋_GB2312" w:hAnsi="仿宋_GB2312" w:eastAsia="仿宋_GB2312" w:cs="仿宋_GB2312"/>
          <w:kern w:val="0"/>
          <w:szCs w:val="21"/>
        </w:rPr>
        <w:t>类</w:t>
      </w:r>
      <w:r>
        <w:rPr>
          <w:rFonts w:hint="eastAsia" w:hAnsi="宋体" w:cs="宋体"/>
          <w:kern w:val="1"/>
        </w:rPr>
        <w:t>：</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164"/>
        <w:gridCol w:w="1650"/>
        <w:gridCol w:w="4462"/>
      </w:tblGrid>
      <w:tr w14:paraId="1EC2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731" w:type="pct"/>
            <w:vAlign w:val="center"/>
          </w:tcPr>
          <w:p w14:paraId="5F4D9DC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类别</w:t>
            </w:r>
          </w:p>
        </w:tc>
        <w:tc>
          <w:tcPr>
            <w:tcW w:w="683" w:type="pct"/>
            <w:vAlign w:val="center"/>
          </w:tcPr>
          <w:p w14:paraId="3188B7C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物资名称</w:t>
            </w:r>
          </w:p>
        </w:tc>
        <w:tc>
          <w:tcPr>
            <w:tcW w:w="968" w:type="pct"/>
            <w:vAlign w:val="center"/>
          </w:tcPr>
          <w:p w14:paraId="74F1F89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大类</w:t>
            </w:r>
          </w:p>
        </w:tc>
        <w:tc>
          <w:tcPr>
            <w:tcW w:w="2618" w:type="pct"/>
            <w:vAlign w:val="center"/>
          </w:tcPr>
          <w:p w14:paraId="4B2CD74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具体牌号</w:t>
            </w:r>
          </w:p>
        </w:tc>
      </w:tr>
      <w:tr w14:paraId="0059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31" w:type="pct"/>
            <w:vMerge w:val="restart"/>
            <w:vAlign w:val="center"/>
          </w:tcPr>
          <w:p w14:paraId="5E7E94F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B类</w:t>
            </w:r>
          </w:p>
        </w:tc>
        <w:tc>
          <w:tcPr>
            <w:tcW w:w="683" w:type="pct"/>
            <w:vMerge w:val="restart"/>
            <w:vAlign w:val="center"/>
          </w:tcPr>
          <w:p w14:paraId="74C3ECD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备品备件</w:t>
            </w:r>
          </w:p>
        </w:tc>
        <w:tc>
          <w:tcPr>
            <w:tcW w:w="968" w:type="pct"/>
            <w:vAlign w:val="center"/>
          </w:tcPr>
          <w:p w14:paraId="1EC533E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B1包：刀具</w:t>
            </w:r>
          </w:p>
        </w:tc>
        <w:tc>
          <w:tcPr>
            <w:tcW w:w="2618" w:type="pct"/>
            <w:vAlign w:val="center"/>
          </w:tcPr>
          <w:p w14:paraId="58A77E67">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宋体"/>
                <w:sz w:val="21"/>
                <w:szCs w:val="21"/>
              </w:rPr>
            </w:pPr>
            <w:r>
              <w:rPr>
                <w:rFonts w:hint="eastAsia" w:ascii="宋体" w:hAnsi="宋体" w:cs="宋体"/>
                <w:sz w:val="21"/>
                <w:szCs w:val="21"/>
              </w:rPr>
              <w:t>车刀：</w:t>
            </w:r>
            <w:r>
              <w:rPr>
                <w:rFonts w:ascii="宋体" w:hAnsi="宋体" w:cs="宋体"/>
                <w:sz w:val="21"/>
                <w:szCs w:val="21"/>
              </w:rPr>
              <w:t>外圆车刀、镗孔刀、切断切槽刀、螺纹车刀、成型车刀</w:t>
            </w:r>
            <w:r>
              <w:rPr>
                <w:rFonts w:hint="eastAsia" w:ascii="宋体" w:hAnsi="宋体" w:cs="宋体"/>
                <w:sz w:val="21"/>
                <w:szCs w:val="21"/>
              </w:rPr>
              <w:t>；</w:t>
            </w:r>
          </w:p>
          <w:p w14:paraId="3F8288D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宋体"/>
                <w:sz w:val="21"/>
                <w:szCs w:val="21"/>
              </w:rPr>
            </w:pPr>
            <w:r>
              <w:rPr>
                <w:rFonts w:hint="eastAsia" w:ascii="宋体" w:hAnsi="宋体" w:cs="宋体"/>
                <w:sz w:val="21"/>
                <w:szCs w:val="21"/>
              </w:rPr>
              <w:t>铣刀：</w:t>
            </w:r>
            <w:r>
              <w:rPr>
                <w:rFonts w:ascii="宋体" w:hAnsi="宋体" w:cs="宋体"/>
                <w:sz w:val="21"/>
                <w:szCs w:val="21"/>
              </w:rPr>
              <w:t>立铣刀、面铣刀、方肩铣刀、球头铣刀、倒角铣刀、三面刃铣刀、T型铣刀、玉米铣刀</w:t>
            </w:r>
            <w:r>
              <w:rPr>
                <w:rFonts w:hint="eastAsia" w:ascii="宋体" w:hAnsi="宋体" w:cs="宋体"/>
                <w:sz w:val="21"/>
                <w:szCs w:val="21"/>
              </w:rPr>
              <w:t>；</w:t>
            </w:r>
          </w:p>
          <w:p w14:paraId="6B673AE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宋体"/>
                <w:sz w:val="21"/>
                <w:szCs w:val="21"/>
              </w:rPr>
            </w:pPr>
            <w:r>
              <w:rPr>
                <w:rFonts w:hint="eastAsia" w:ascii="宋体" w:hAnsi="宋体" w:cs="宋体"/>
                <w:sz w:val="21"/>
                <w:szCs w:val="21"/>
              </w:rPr>
              <w:t>孔加工刀：</w:t>
            </w:r>
            <w:r>
              <w:rPr>
                <w:rFonts w:ascii="宋体" w:hAnsi="宋体" w:cs="宋体"/>
                <w:sz w:val="21"/>
                <w:szCs w:val="21"/>
              </w:rPr>
              <w:t>定心钻、麻花钻、扩孔钻、铰刀、锪钻、粗镗刀、精镗刀</w:t>
            </w:r>
            <w:r>
              <w:rPr>
                <w:rFonts w:hint="eastAsia" w:ascii="宋体" w:hAnsi="宋体" w:cs="宋体"/>
                <w:sz w:val="21"/>
                <w:szCs w:val="21"/>
              </w:rPr>
              <w:t>；</w:t>
            </w:r>
          </w:p>
          <w:p w14:paraId="5DBB854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宋体"/>
                <w:sz w:val="21"/>
                <w:szCs w:val="21"/>
              </w:rPr>
            </w:pPr>
            <w:r>
              <w:rPr>
                <w:rFonts w:hint="eastAsia" w:ascii="宋体" w:hAnsi="宋体" w:cs="宋体"/>
                <w:sz w:val="21"/>
                <w:szCs w:val="21"/>
              </w:rPr>
              <w:t>螺纹刀：丝锥、螺纹铣刀、板牙；</w:t>
            </w:r>
          </w:p>
          <w:p w14:paraId="75A60E9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宋体"/>
                <w:sz w:val="21"/>
                <w:szCs w:val="21"/>
              </w:rPr>
            </w:pPr>
            <w:r>
              <w:rPr>
                <w:rFonts w:ascii="宋体" w:hAnsi="宋体" w:cs="宋体"/>
                <w:sz w:val="21"/>
                <w:szCs w:val="21"/>
              </w:rPr>
              <w:t>夹持刀柄</w:t>
            </w:r>
            <w:r>
              <w:rPr>
                <w:rFonts w:hint="eastAsia" w:ascii="宋体" w:hAnsi="宋体" w:cs="宋体"/>
                <w:sz w:val="21"/>
                <w:szCs w:val="21"/>
              </w:rPr>
              <w:t>：</w:t>
            </w:r>
            <w:r>
              <w:rPr>
                <w:rFonts w:ascii="宋体" w:hAnsi="宋体" w:cs="宋体"/>
                <w:sz w:val="21"/>
                <w:szCs w:val="21"/>
              </w:rPr>
              <w:t>ER刀柄、侧固刀柄、液压刀柄、热缩刀柄、浮动攻丝刀柄、加长杆、变径套</w:t>
            </w:r>
          </w:p>
        </w:tc>
      </w:tr>
      <w:tr w14:paraId="43D4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31" w:type="pct"/>
            <w:vMerge w:val="continue"/>
            <w:vAlign w:val="center"/>
          </w:tcPr>
          <w:p w14:paraId="69EE938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683" w:type="pct"/>
            <w:vMerge w:val="continue"/>
            <w:vAlign w:val="center"/>
          </w:tcPr>
          <w:p w14:paraId="4945E7C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68" w:type="pct"/>
            <w:vAlign w:val="center"/>
          </w:tcPr>
          <w:p w14:paraId="598683A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B2包：工装夹具</w:t>
            </w:r>
          </w:p>
        </w:tc>
        <w:tc>
          <w:tcPr>
            <w:tcW w:w="2618" w:type="pct"/>
            <w:vAlign w:val="center"/>
          </w:tcPr>
          <w:p w14:paraId="6B1FA27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ascii="宋体" w:hAnsi="宋体" w:cs="宋体"/>
                <w:sz w:val="21"/>
                <w:szCs w:val="21"/>
              </w:rPr>
              <w:t>平口钳</w:t>
            </w:r>
            <w:r>
              <w:rPr>
                <w:rFonts w:hint="eastAsia" w:ascii="宋体" w:hAnsi="宋体" w:cs="宋体"/>
                <w:sz w:val="21"/>
                <w:szCs w:val="21"/>
              </w:rPr>
              <w:t>、</w:t>
            </w:r>
            <w:r>
              <w:rPr>
                <w:rFonts w:ascii="宋体" w:hAnsi="宋体" w:cs="宋体"/>
                <w:sz w:val="21"/>
                <w:szCs w:val="21"/>
              </w:rPr>
              <w:t>分度头</w:t>
            </w:r>
            <w:r>
              <w:rPr>
                <w:rFonts w:hint="eastAsia" w:ascii="宋体" w:hAnsi="宋体" w:cs="宋体"/>
                <w:sz w:val="21"/>
                <w:szCs w:val="21"/>
              </w:rPr>
              <w:t>、</w:t>
            </w:r>
            <w:r>
              <w:rPr>
                <w:rFonts w:ascii="宋体" w:hAnsi="宋体" w:cs="宋体"/>
                <w:sz w:val="21"/>
                <w:szCs w:val="21"/>
              </w:rPr>
              <w:t>三爪卡盘</w:t>
            </w:r>
            <w:r>
              <w:rPr>
                <w:rFonts w:hint="eastAsia" w:ascii="宋体" w:hAnsi="宋体" w:cs="宋体"/>
                <w:sz w:val="21"/>
                <w:szCs w:val="21"/>
              </w:rPr>
              <w:t>、</w:t>
            </w:r>
            <w:r>
              <w:rPr>
                <w:rFonts w:ascii="宋体" w:hAnsi="宋体" w:cs="宋体"/>
                <w:sz w:val="21"/>
                <w:szCs w:val="21"/>
              </w:rPr>
              <w:t>四爪卡盘</w:t>
            </w:r>
            <w:r>
              <w:rPr>
                <w:rFonts w:hint="eastAsia" w:ascii="宋体" w:hAnsi="宋体" w:cs="宋体"/>
                <w:sz w:val="21"/>
                <w:szCs w:val="21"/>
              </w:rPr>
              <w:t>、</w:t>
            </w:r>
            <w:r>
              <w:rPr>
                <w:rFonts w:ascii="宋体" w:hAnsi="宋体" w:cs="宋体"/>
                <w:sz w:val="21"/>
                <w:szCs w:val="21"/>
              </w:rPr>
              <w:t>涨套工装</w:t>
            </w:r>
            <w:r>
              <w:rPr>
                <w:rFonts w:hint="eastAsia" w:ascii="宋体" w:hAnsi="宋体" w:cs="宋体"/>
                <w:sz w:val="21"/>
                <w:szCs w:val="21"/>
              </w:rPr>
              <w:t>、</w:t>
            </w:r>
            <w:r>
              <w:rPr>
                <w:rFonts w:ascii="宋体" w:hAnsi="宋体" w:cs="宋体"/>
                <w:sz w:val="21"/>
                <w:szCs w:val="21"/>
              </w:rPr>
              <w:t>液压夹具</w:t>
            </w:r>
            <w:r>
              <w:rPr>
                <w:rFonts w:hint="eastAsia" w:ascii="宋体" w:hAnsi="宋体" w:cs="宋体"/>
                <w:sz w:val="21"/>
                <w:szCs w:val="21"/>
              </w:rPr>
              <w:t>、</w:t>
            </w:r>
            <w:r>
              <w:rPr>
                <w:rFonts w:ascii="宋体" w:hAnsi="宋体" w:cs="宋体"/>
                <w:sz w:val="21"/>
                <w:szCs w:val="21"/>
              </w:rPr>
              <w:t>气动夹具</w:t>
            </w:r>
            <w:r>
              <w:rPr>
                <w:rFonts w:hint="eastAsia" w:ascii="宋体" w:hAnsi="宋体" w:cs="宋体"/>
                <w:sz w:val="21"/>
                <w:szCs w:val="21"/>
              </w:rPr>
              <w:t>、</w:t>
            </w:r>
            <w:r>
              <w:rPr>
                <w:rFonts w:ascii="宋体" w:hAnsi="宋体" w:cs="宋体"/>
                <w:sz w:val="21"/>
                <w:szCs w:val="21"/>
              </w:rPr>
              <w:t>组合治具</w:t>
            </w:r>
            <w:r>
              <w:rPr>
                <w:rFonts w:hint="eastAsia" w:ascii="宋体" w:hAnsi="宋体" w:cs="宋体"/>
                <w:sz w:val="21"/>
                <w:szCs w:val="21"/>
              </w:rPr>
              <w:t>、</w:t>
            </w:r>
            <w:r>
              <w:rPr>
                <w:rFonts w:ascii="宋体" w:hAnsi="宋体" w:cs="宋体"/>
                <w:sz w:val="21"/>
                <w:szCs w:val="21"/>
              </w:rPr>
              <w:t>定位工装</w:t>
            </w:r>
            <w:r>
              <w:rPr>
                <w:rFonts w:hint="eastAsia" w:ascii="宋体" w:hAnsi="宋体" w:cs="宋体"/>
                <w:sz w:val="21"/>
                <w:szCs w:val="21"/>
              </w:rPr>
              <w:t>、</w:t>
            </w:r>
            <w:r>
              <w:rPr>
                <w:rFonts w:ascii="宋体" w:hAnsi="宋体" w:cs="宋体"/>
                <w:sz w:val="21"/>
                <w:szCs w:val="21"/>
              </w:rPr>
              <w:t>压板螺栓组件</w:t>
            </w:r>
            <w:r>
              <w:rPr>
                <w:rFonts w:hint="eastAsia" w:ascii="宋体" w:hAnsi="宋体" w:cs="宋体"/>
                <w:sz w:val="21"/>
                <w:szCs w:val="21"/>
              </w:rPr>
              <w:t>、</w:t>
            </w:r>
            <w:r>
              <w:rPr>
                <w:rFonts w:ascii="宋体" w:hAnsi="宋体" w:cs="宋体"/>
                <w:sz w:val="21"/>
                <w:szCs w:val="21"/>
              </w:rPr>
              <w:t>工装垫板</w:t>
            </w:r>
            <w:r>
              <w:rPr>
                <w:rFonts w:hint="eastAsia" w:ascii="宋体" w:hAnsi="宋体" w:cs="宋体"/>
                <w:sz w:val="21"/>
                <w:szCs w:val="21"/>
              </w:rPr>
              <w:t>、</w:t>
            </w:r>
            <w:r>
              <w:rPr>
                <w:rFonts w:ascii="宋体" w:hAnsi="宋体" w:cs="宋体"/>
                <w:sz w:val="21"/>
                <w:szCs w:val="21"/>
              </w:rPr>
              <w:t>顶尖</w:t>
            </w:r>
            <w:r>
              <w:rPr>
                <w:rFonts w:hint="eastAsia" w:ascii="宋体" w:hAnsi="宋体" w:cs="宋体"/>
                <w:sz w:val="21"/>
                <w:szCs w:val="21"/>
              </w:rPr>
              <w:t>、</w:t>
            </w:r>
            <w:r>
              <w:rPr>
                <w:rFonts w:ascii="宋体" w:hAnsi="宋体" w:cs="宋体"/>
                <w:sz w:val="21"/>
                <w:szCs w:val="21"/>
              </w:rPr>
              <w:t>卡箍</w:t>
            </w:r>
          </w:p>
        </w:tc>
      </w:tr>
      <w:tr w14:paraId="6425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731" w:type="pct"/>
            <w:vMerge w:val="continue"/>
            <w:vAlign w:val="center"/>
          </w:tcPr>
          <w:p w14:paraId="1FEF720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683" w:type="pct"/>
            <w:vMerge w:val="continue"/>
            <w:vAlign w:val="center"/>
          </w:tcPr>
          <w:p w14:paraId="51D2AEE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68" w:type="pct"/>
            <w:vAlign w:val="center"/>
          </w:tcPr>
          <w:p w14:paraId="6A454BB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B3包：机电机具及五金备件</w:t>
            </w:r>
          </w:p>
        </w:tc>
        <w:tc>
          <w:tcPr>
            <w:tcW w:w="2618" w:type="pct"/>
            <w:vAlign w:val="center"/>
          </w:tcPr>
          <w:p w14:paraId="7CE559E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宋体"/>
                <w:sz w:val="21"/>
                <w:szCs w:val="21"/>
              </w:rPr>
              <w:t>电机、轴承、电动工具、钳工机械、标准件、五金杂品</w:t>
            </w:r>
          </w:p>
        </w:tc>
      </w:tr>
    </w:tbl>
    <w:p w14:paraId="3EDA2F33">
      <w:pPr>
        <w:pStyle w:val="13"/>
        <w:rPr>
          <w:rFonts w:hAnsi="宋体" w:cs="宋体"/>
          <w:kern w:val="1"/>
        </w:rPr>
      </w:pPr>
      <w:r>
        <w:rPr>
          <w:rFonts w:hint="eastAsia" w:hAnsi="宋体" w:cs="宋体"/>
          <w:kern w:val="1"/>
        </w:rPr>
        <w:t>C</w:t>
      </w:r>
      <w:r>
        <w:rPr>
          <w:rFonts w:hint="eastAsia" w:ascii="仿宋_GB2312" w:hAnsi="仿宋_GB2312" w:eastAsia="仿宋_GB2312" w:cs="仿宋_GB2312"/>
          <w:kern w:val="0"/>
          <w:szCs w:val="21"/>
        </w:rPr>
        <w:t>类</w:t>
      </w:r>
      <w:r>
        <w:rPr>
          <w:rFonts w:hint="eastAsia" w:hAnsi="宋体" w:cs="宋体"/>
          <w:kern w:val="1"/>
        </w:rPr>
        <w:t>：</w:t>
      </w:r>
    </w:p>
    <w:tbl>
      <w:tblPr>
        <w:tblStyle w:val="26"/>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481"/>
        <w:gridCol w:w="1639"/>
        <w:gridCol w:w="4399"/>
      </w:tblGrid>
      <w:tr w14:paraId="3EF7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526" w:type="pct"/>
            <w:vAlign w:val="center"/>
          </w:tcPr>
          <w:p w14:paraId="712F4FA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类别</w:t>
            </w:r>
          </w:p>
        </w:tc>
        <w:tc>
          <w:tcPr>
            <w:tcW w:w="881" w:type="pct"/>
            <w:vAlign w:val="center"/>
          </w:tcPr>
          <w:p w14:paraId="728703A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服务内容</w:t>
            </w:r>
          </w:p>
        </w:tc>
        <w:tc>
          <w:tcPr>
            <w:tcW w:w="975" w:type="pct"/>
            <w:vAlign w:val="center"/>
          </w:tcPr>
          <w:p w14:paraId="5347B874">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工序类别</w:t>
            </w:r>
          </w:p>
        </w:tc>
        <w:tc>
          <w:tcPr>
            <w:tcW w:w="2616" w:type="pct"/>
            <w:vAlign w:val="center"/>
          </w:tcPr>
          <w:p w14:paraId="10E86B2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具体牌号</w:t>
            </w:r>
          </w:p>
        </w:tc>
      </w:tr>
      <w:tr w14:paraId="758B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26" w:type="pct"/>
            <w:vMerge w:val="restart"/>
            <w:vAlign w:val="center"/>
          </w:tcPr>
          <w:p w14:paraId="3A3F5E9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C类</w:t>
            </w:r>
          </w:p>
        </w:tc>
        <w:tc>
          <w:tcPr>
            <w:tcW w:w="881" w:type="pct"/>
            <w:vMerge w:val="restart"/>
            <w:vAlign w:val="center"/>
          </w:tcPr>
          <w:p w14:paraId="538AD19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r>
              <w:rPr>
                <w:rFonts w:hint="eastAsia" w:ascii="宋体" w:hAnsi="宋体" w:cs="宋体"/>
                <w:kern w:val="0"/>
                <w:sz w:val="21"/>
                <w:szCs w:val="21"/>
              </w:rPr>
              <w:t>外协工序</w:t>
            </w:r>
          </w:p>
        </w:tc>
        <w:tc>
          <w:tcPr>
            <w:tcW w:w="975" w:type="pct"/>
            <w:vAlign w:val="center"/>
          </w:tcPr>
          <w:p w14:paraId="52D55D8B">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C1包：热处理</w:t>
            </w:r>
          </w:p>
        </w:tc>
        <w:tc>
          <w:tcPr>
            <w:tcW w:w="2616" w:type="pct"/>
            <w:vAlign w:val="center"/>
          </w:tcPr>
          <w:p w14:paraId="26B1861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宋体"/>
                <w:sz w:val="21"/>
                <w:szCs w:val="21"/>
              </w:rPr>
            </w:pPr>
            <w:r>
              <w:rPr>
                <w:rFonts w:hint="eastAsia" w:ascii="宋体" w:hAnsi="宋体" w:cs="宋体"/>
                <w:sz w:val="21"/>
                <w:szCs w:val="21"/>
              </w:rPr>
              <w:t>退火、正火、调质、淬火、回火、渗碳、氮化、固溶时效、去应力、深冷处理</w:t>
            </w:r>
          </w:p>
        </w:tc>
      </w:tr>
      <w:tr w14:paraId="20F0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26" w:type="pct"/>
            <w:vMerge w:val="continue"/>
            <w:vAlign w:val="center"/>
          </w:tcPr>
          <w:p w14:paraId="65A89B2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881" w:type="pct"/>
            <w:vMerge w:val="continue"/>
            <w:vAlign w:val="center"/>
          </w:tcPr>
          <w:p w14:paraId="53CA773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75" w:type="pct"/>
            <w:vAlign w:val="center"/>
          </w:tcPr>
          <w:p w14:paraId="4628D16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C2包：表面处理</w:t>
            </w:r>
          </w:p>
        </w:tc>
        <w:tc>
          <w:tcPr>
            <w:tcW w:w="2616" w:type="pct"/>
            <w:vAlign w:val="center"/>
          </w:tcPr>
          <w:p w14:paraId="1C6D6C6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仿宋_GB2312"/>
                <w:kern w:val="0"/>
                <w:sz w:val="21"/>
                <w:szCs w:val="21"/>
              </w:rPr>
              <w:t>阳极氧化、硬质阳极、镀铬、镀锌、发黑、发蓝、喷涂、钝化、抛光、喷砂、电镀镍</w:t>
            </w:r>
          </w:p>
        </w:tc>
      </w:tr>
      <w:tr w14:paraId="6B65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26" w:type="pct"/>
            <w:vMerge w:val="continue"/>
            <w:vAlign w:val="center"/>
          </w:tcPr>
          <w:p w14:paraId="676D695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p>
        </w:tc>
        <w:tc>
          <w:tcPr>
            <w:tcW w:w="881" w:type="pct"/>
            <w:vMerge w:val="continue"/>
            <w:vAlign w:val="center"/>
          </w:tcPr>
          <w:p w14:paraId="723303D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宋体"/>
                <w:kern w:val="0"/>
                <w:sz w:val="21"/>
                <w:szCs w:val="21"/>
              </w:rPr>
            </w:pPr>
          </w:p>
        </w:tc>
        <w:tc>
          <w:tcPr>
            <w:tcW w:w="975" w:type="pct"/>
            <w:vAlign w:val="center"/>
          </w:tcPr>
          <w:p w14:paraId="6D4D134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center"/>
              <w:rPr>
                <w:rFonts w:ascii="宋体" w:hAnsi="宋体" w:cs="仿宋_GB2312"/>
                <w:kern w:val="0"/>
                <w:sz w:val="21"/>
                <w:szCs w:val="21"/>
              </w:rPr>
            </w:pPr>
            <w:r>
              <w:rPr>
                <w:rFonts w:hint="eastAsia" w:ascii="宋体" w:hAnsi="宋体" w:cs="仿宋_GB2312"/>
                <w:kern w:val="0"/>
                <w:sz w:val="21"/>
                <w:szCs w:val="21"/>
              </w:rPr>
              <w:t>C3包：加工</w:t>
            </w:r>
          </w:p>
        </w:tc>
        <w:tc>
          <w:tcPr>
            <w:tcW w:w="2616" w:type="pct"/>
            <w:vAlign w:val="center"/>
          </w:tcPr>
          <w:p w14:paraId="14BC9B71">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ind w:firstLine="0" w:firstLineChars="0"/>
              <w:jc w:val="left"/>
              <w:rPr>
                <w:rFonts w:ascii="宋体" w:hAnsi="宋体" w:cs="仿宋_GB2312"/>
                <w:kern w:val="0"/>
                <w:sz w:val="21"/>
                <w:szCs w:val="21"/>
              </w:rPr>
            </w:pPr>
            <w:r>
              <w:rPr>
                <w:rFonts w:hint="eastAsia" w:ascii="宋体" w:hAnsi="宋体" w:cs="宋体"/>
                <w:sz w:val="21"/>
                <w:szCs w:val="21"/>
              </w:rPr>
              <w:t>车削、铣削、钻孔、镗孔、铰孔、攻丝、切断、磨加工、线切割、电火花、锯切、拉削</w:t>
            </w:r>
          </w:p>
        </w:tc>
      </w:tr>
    </w:tbl>
    <w:p w14:paraId="4805500A">
      <w:pPr>
        <w:ind w:firstLine="480"/>
      </w:pPr>
      <w:r>
        <w:rPr>
          <w:rFonts w:hint="eastAsia"/>
        </w:rPr>
        <w:t>3、项目地点：根据后续所需项目实际情况确定。</w:t>
      </w:r>
    </w:p>
    <w:p w14:paraId="7E5CF96C">
      <w:pPr>
        <w:ind w:firstLine="480"/>
      </w:pPr>
      <w:r>
        <w:rPr>
          <w:rFonts w:hint="eastAsia"/>
        </w:rPr>
        <w:t>4、结算方式：根据后续所需项目实际情况确定。</w:t>
      </w:r>
    </w:p>
    <w:p w14:paraId="4520D1FA">
      <w:pPr>
        <w:ind w:firstLine="480"/>
      </w:pPr>
      <w:r>
        <w:rPr>
          <w:rFonts w:hint="eastAsia"/>
        </w:rPr>
        <w:t>5、有效期限：</w:t>
      </w:r>
      <w:r>
        <w:t>自入围通知书发出之日起一年。</w:t>
      </w:r>
    </w:p>
    <w:p w14:paraId="49BFA775">
      <w:pPr>
        <w:ind w:firstLine="480"/>
      </w:pPr>
      <w:r>
        <w:rPr>
          <w:rFonts w:hint="eastAsia"/>
        </w:rPr>
        <w:t>6、</w:t>
      </w:r>
      <w:r>
        <w:t>特别说明：本次入围不承诺具体采购量及采购金额，以实际发生为准。</w:t>
      </w:r>
    </w:p>
    <w:p w14:paraId="45C19EE6">
      <w:pPr>
        <w:pStyle w:val="3"/>
      </w:pPr>
      <w:r>
        <w:rPr>
          <w:rFonts w:hint="eastAsia"/>
        </w:rPr>
        <w:t>四、投标人资格要求</w:t>
      </w:r>
    </w:p>
    <w:p w14:paraId="4A186164">
      <w:pPr>
        <w:ind w:firstLine="480"/>
      </w:pPr>
      <w:bookmarkStart w:id="2" w:name="_Hlk193987890"/>
      <w:r>
        <w:rPr>
          <w:rFonts w:hint="eastAsia"/>
        </w:rPr>
        <w:t>本次招标要求投标人须为中华人民共和国境内依法注册的企业法人或其它组织，须具备完成和保障如期交付承担招标项目的能力。</w:t>
      </w:r>
    </w:p>
    <w:p w14:paraId="6767EFB1">
      <w:pPr>
        <w:ind w:firstLine="480"/>
      </w:pPr>
      <w:r>
        <w:rPr>
          <w:rFonts w:hint="eastAsia"/>
        </w:rPr>
        <w:t>1、投标人及其投标的服务须满足如下通用资格要求：</w:t>
      </w:r>
    </w:p>
    <w:p w14:paraId="74F50F3A">
      <w:pPr>
        <w:ind w:firstLine="480"/>
      </w:pPr>
      <w:r>
        <w:rPr>
          <w:rFonts w:hint="eastAsia"/>
        </w:rPr>
        <w:t>（1）根据最高人民法院、国家发改委等九部门联合印发的《关于在招标投标活动中对失信被执行人实施联合惩戒的通知》规定，投标人不得被人民法院列为失信被执行人。</w:t>
      </w:r>
    </w:p>
    <w:p w14:paraId="58D5B07D">
      <w:pPr>
        <w:ind w:firstLine="480"/>
      </w:pPr>
      <w:r>
        <w:rPr>
          <w:rFonts w:hint="eastAsia"/>
        </w:rPr>
        <w:t>（2）根据国家发改委等部委联合印发《关于对电力行业严重违法失信市场主体及其有关人员实施联合惩戒的合作备忘录》（发改运行〔2017〕946号）规定，投标人不得被政府主管部门认定存在严重违法失信行为并纳入电力行业“黑名单”。</w:t>
      </w:r>
    </w:p>
    <w:p w14:paraId="565E9A0C">
      <w:pPr>
        <w:ind w:firstLine="480"/>
      </w:pPr>
      <w:r>
        <w:rPr>
          <w:rFonts w:hint="eastAsia"/>
        </w:rPr>
        <w:t>（3）投标人不得被工商行政管理机关在全国企业信用信息公示系统中列入严重违法失信企业名单或经营异常名录，须提供国家企业信用信息公示系统（www.gsxt.gov.cn）对应查询结果。</w:t>
      </w:r>
    </w:p>
    <w:p w14:paraId="76588588">
      <w:pPr>
        <w:ind w:firstLine="480"/>
      </w:pPr>
      <w:r>
        <w:rPr>
          <w:rFonts w:hint="eastAsia"/>
        </w:rPr>
        <w:t>（4）投标人近三年内无因自身或分包商原因导致的违约、合同终止记录，无腐败、欺诈、投标及履约违规违纪行为。</w:t>
      </w:r>
    </w:p>
    <w:p w14:paraId="49AD48CF">
      <w:pPr>
        <w:ind w:firstLine="480"/>
      </w:pPr>
      <w:r>
        <w:rPr>
          <w:rFonts w:hint="eastAsia"/>
        </w:rPr>
        <w:t>（5）投标人不得是济钢集团、济钢空天电控发布的黑名单企业。</w:t>
      </w:r>
    </w:p>
    <w:p w14:paraId="57EC2D58">
      <w:pPr>
        <w:ind w:firstLine="480"/>
      </w:pPr>
      <w:r>
        <w:rPr>
          <w:rFonts w:hint="eastAsia"/>
        </w:rPr>
        <w:t>（6）投标人在国内招投标、合同履行及质保期服务中无不良行为记录。</w:t>
      </w:r>
    </w:p>
    <w:p w14:paraId="6156EB0E">
      <w:pPr>
        <w:ind w:firstLine="480"/>
      </w:pPr>
      <w:r>
        <w:rPr>
          <w:rFonts w:hint="eastAsia"/>
        </w:rPr>
        <w:t>（7）本次招标接受联合体投标。联合体成员不超过2家，须提交联合体协议并明确牵头方，联合体各方不得再单独或参加其他联合体投标。</w:t>
      </w:r>
    </w:p>
    <w:p w14:paraId="34544466">
      <w:pPr>
        <w:ind w:firstLine="480"/>
      </w:pPr>
      <w:r>
        <w:rPr>
          <w:rFonts w:hint="eastAsia"/>
        </w:rPr>
        <w:t>（8）严禁挂靠投标，如有单位资料造假，一经发现，立即在网上公示，并永久取消投标资格。</w:t>
      </w:r>
    </w:p>
    <w:p w14:paraId="6905A156">
      <w:pPr>
        <w:ind w:firstLine="480"/>
      </w:pPr>
      <w:r>
        <w:rPr>
          <w:rFonts w:hint="eastAsia"/>
        </w:rPr>
        <w:t>（9）报名及投标人员在济钢集团的一切活动必须遵守济钢集团的安全规定。</w:t>
      </w:r>
    </w:p>
    <w:p w14:paraId="73D1E3D4">
      <w:pPr>
        <w:ind w:firstLine="480"/>
      </w:pPr>
      <w:r>
        <w:rPr>
          <w:rFonts w:hint="eastAsia"/>
        </w:rPr>
        <w:t>2、</w:t>
      </w:r>
      <w:bookmarkStart w:id="3" w:name="_Hlk197612940"/>
      <w:r>
        <w:rPr>
          <w:rFonts w:hint="eastAsia"/>
        </w:rPr>
        <w:t>投标人及其投标的服务须满足相应招标项目的专用资格要求如下：</w:t>
      </w:r>
      <w:bookmarkEnd w:id="3"/>
    </w:p>
    <w:p w14:paraId="6F3F5BB2">
      <w:pPr>
        <w:ind w:firstLine="480"/>
      </w:pPr>
      <w:r>
        <w:rPr>
          <w:rFonts w:hint="eastAsia"/>
        </w:rPr>
        <w:t>（1）主体资质：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6926"/>
      </w:tblGrid>
      <w:tr w14:paraId="534F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3A8D318D">
            <w:pPr>
              <w:ind w:firstLine="0" w:firstLineChars="0"/>
              <w:jc w:val="center"/>
            </w:pPr>
            <w:r>
              <w:rPr>
                <w:rFonts w:hint="eastAsia"/>
              </w:rPr>
              <w:t>分包序号</w:t>
            </w:r>
          </w:p>
        </w:tc>
        <w:tc>
          <w:tcPr>
            <w:tcW w:w="6926" w:type="dxa"/>
          </w:tcPr>
          <w:p w14:paraId="61230ABC">
            <w:pPr>
              <w:ind w:firstLine="0" w:firstLineChars="0"/>
              <w:jc w:val="center"/>
            </w:pPr>
            <w:r>
              <w:rPr>
                <w:rFonts w:hint="eastAsia"/>
              </w:rPr>
              <w:t>资质要求</w:t>
            </w:r>
          </w:p>
        </w:tc>
      </w:tr>
      <w:tr w14:paraId="30D9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5D0B6A94">
            <w:pPr>
              <w:ind w:firstLine="0" w:firstLineChars="0"/>
              <w:jc w:val="center"/>
            </w:pPr>
            <w:r>
              <w:rPr>
                <w:rFonts w:hint="eastAsia"/>
              </w:rPr>
              <w:t>A类（A1-A4 包）</w:t>
            </w:r>
          </w:p>
        </w:tc>
        <w:tc>
          <w:tcPr>
            <w:tcW w:w="6926" w:type="dxa"/>
          </w:tcPr>
          <w:p w14:paraId="4E3C3712">
            <w:pPr>
              <w:ind w:firstLine="0" w:firstLineChars="0"/>
            </w:pPr>
            <w:r>
              <w:rPr>
                <w:rFonts w:hint="eastAsia"/>
              </w:rPr>
              <w:t>在中华人民共和国境内依法注册，具备独立法人资格及增值税一般纳税人资格，营业执照合法有效；营业执照经营范围包含金属材料、合金原材料、工业型材、特种冶金材料、高分子材料或同类原材料生产、销售相关表述。</w:t>
            </w:r>
          </w:p>
        </w:tc>
      </w:tr>
      <w:tr w14:paraId="022D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32379E95">
            <w:pPr>
              <w:ind w:firstLine="0" w:firstLineChars="0"/>
              <w:jc w:val="center"/>
            </w:pPr>
            <w:r>
              <w:rPr>
                <w:rFonts w:hint="eastAsia"/>
              </w:rPr>
              <w:t>B类（B1-B3 包）</w:t>
            </w:r>
          </w:p>
        </w:tc>
        <w:tc>
          <w:tcPr>
            <w:tcW w:w="6926" w:type="dxa"/>
          </w:tcPr>
          <w:p w14:paraId="124376C4">
            <w:pPr>
              <w:ind w:firstLine="0" w:firstLineChars="0"/>
            </w:pPr>
            <w:r>
              <w:rPr>
                <w:rFonts w:hint="eastAsia"/>
              </w:rPr>
              <w:t>在中华人民共和国境内依法注册，具备独立法人资格及增值税一般纳税人资格，营业执照合法有效；营业执照经营范围包含刀具、夹具、电机、机械零部件、五金机电产品、工业自动化备品备件或同类生产备品备件的生产、销售相关表述。</w:t>
            </w:r>
          </w:p>
        </w:tc>
      </w:tr>
      <w:tr w14:paraId="28CA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774363DC">
            <w:pPr>
              <w:ind w:firstLine="0" w:firstLineChars="0"/>
              <w:jc w:val="center"/>
            </w:pPr>
            <w:r>
              <w:rPr>
                <w:rFonts w:hint="eastAsia"/>
              </w:rPr>
              <w:t>C类（C1-C3 包）</w:t>
            </w:r>
          </w:p>
        </w:tc>
        <w:tc>
          <w:tcPr>
            <w:tcW w:w="6926" w:type="dxa"/>
          </w:tcPr>
          <w:p w14:paraId="20B75F6F">
            <w:pPr>
              <w:ind w:firstLine="0" w:firstLineChars="0"/>
            </w:pPr>
            <w:r>
              <w:rPr>
                <w:rFonts w:hint="eastAsia" w:ascii="宋体" w:hAnsi="宋体" w:cs="宋体"/>
                <w:szCs w:val="24"/>
              </w:rPr>
              <w:t>在中华人民共和国境内依法注册，具备独立法人资格及增值税一般纳税人资格，营业执照合法有效；营业执照经营范围包含机械加工、热处理、表面处理、金属零部件加工、工业外协加工服务或同类生产工序服务相关表述。</w:t>
            </w:r>
          </w:p>
        </w:tc>
      </w:tr>
    </w:tbl>
    <w:p w14:paraId="07E4ADFC">
      <w:pPr>
        <w:ind w:firstLine="480"/>
      </w:pPr>
      <w:r>
        <w:rPr>
          <w:rFonts w:hint="eastAsia"/>
        </w:rPr>
        <w:t>（2）供货与产能资质：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6926"/>
      </w:tblGrid>
      <w:tr w14:paraId="5E11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16C7872C">
            <w:pPr>
              <w:ind w:firstLine="0" w:firstLineChars="0"/>
              <w:jc w:val="center"/>
            </w:pPr>
            <w:r>
              <w:rPr>
                <w:rFonts w:hint="eastAsia"/>
              </w:rPr>
              <w:t>分包序号</w:t>
            </w:r>
          </w:p>
        </w:tc>
        <w:tc>
          <w:tcPr>
            <w:tcW w:w="6926" w:type="dxa"/>
          </w:tcPr>
          <w:p w14:paraId="68A24D32">
            <w:pPr>
              <w:ind w:firstLine="0" w:firstLineChars="0"/>
              <w:jc w:val="center"/>
            </w:pPr>
            <w:r>
              <w:rPr>
                <w:rFonts w:hint="eastAsia"/>
              </w:rPr>
              <w:t>资质要求</w:t>
            </w:r>
          </w:p>
        </w:tc>
      </w:tr>
      <w:tr w14:paraId="2322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41829702">
            <w:pPr>
              <w:ind w:firstLine="0" w:firstLineChars="0"/>
              <w:jc w:val="center"/>
            </w:pPr>
            <w:r>
              <w:rPr>
                <w:rFonts w:hint="eastAsia"/>
              </w:rPr>
              <w:t>A类（A1-A4 包）</w:t>
            </w:r>
          </w:p>
        </w:tc>
        <w:tc>
          <w:tcPr>
            <w:tcW w:w="6926" w:type="dxa"/>
          </w:tcPr>
          <w:p w14:paraId="64B996EE">
            <w:pPr>
              <w:ind w:firstLine="0" w:firstLineChars="0"/>
            </w:pPr>
            <w:r>
              <w:rPr>
                <w:rFonts w:hint="eastAsia"/>
              </w:rPr>
              <w:t>具备航空航天类原材料稳定供货能力，可提供原厂授权、经销合作协议、进货渠道证明或自有生产资质证明任一即可；若为生产型投标人，需具备对应合金、金属、非金属原材料生产相关配套资质、生产场地证明。</w:t>
            </w:r>
          </w:p>
        </w:tc>
      </w:tr>
      <w:tr w14:paraId="0EB3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734F561B">
            <w:pPr>
              <w:ind w:firstLine="0" w:firstLineChars="0"/>
              <w:jc w:val="center"/>
            </w:pPr>
            <w:r>
              <w:rPr>
                <w:rFonts w:hint="eastAsia"/>
              </w:rPr>
              <w:t>B类（B1-B3 包）</w:t>
            </w:r>
          </w:p>
        </w:tc>
        <w:tc>
          <w:tcPr>
            <w:tcW w:w="6926" w:type="dxa"/>
          </w:tcPr>
          <w:p w14:paraId="612538BE">
            <w:pPr>
              <w:ind w:firstLine="0" w:firstLineChars="0"/>
            </w:pPr>
            <w:r>
              <w:rPr>
                <w:rFonts w:ascii="宋体" w:hAnsi="宋体" w:cs="宋体"/>
                <w:szCs w:val="24"/>
              </w:rPr>
              <w:t>具备工业生产用刀具、夹具、电机等备品备件的稳定供货能力，</w:t>
            </w:r>
            <w:r>
              <w:rPr>
                <w:rFonts w:hint="eastAsia" w:ascii="宋体" w:hAnsi="宋体" w:cs="宋体"/>
                <w:szCs w:val="24"/>
              </w:rPr>
              <w:t>可提供原厂授权、经销合作协议、进货渠道证明或自有生产资质证明任一即可</w:t>
            </w:r>
            <w:r>
              <w:rPr>
                <w:rFonts w:ascii="宋体" w:hAnsi="宋体" w:cs="宋体"/>
                <w:szCs w:val="24"/>
              </w:rPr>
              <w:t>；若为生产型投标人，需具备对应刀具、夹具、电机等备品备件生产相关的配套生产资质、生产场地及生产设备证明文件。</w:t>
            </w:r>
          </w:p>
        </w:tc>
      </w:tr>
      <w:tr w14:paraId="23D1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tcPr>
          <w:p w14:paraId="1321F7EA">
            <w:pPr>
              <w:ind w:firstLine="0" w:firstLineChars="0"/>
              <w:jc w:val="center"/>
            </w:pPr>
            <w:r>
              <w:rPr>
                <w:rFonts w:hint="eastAsia"/>
              </w:rPr>
              <w:t>C类（C1-C3 包）</w:t>
            </w:r>
          </w:p>
        </w:tc>
        <w:tc>
          <w:tcPr>
            <w:tcW w:w="6926" w:type="dxa"/>
          </w:tcPr>
          <w:p w14:paraId="49B31090">
            <w:pPr>
              <w:ind w:firstLine="0" w:firstLineChars="0"/>
            </w:pPr>
            <w:r>
              <w:rPr>
                <w:rFonts w:hint="eastAsia" w:ascii="宋体" w:hAnsi="宋体" w:cs="宋体"/>
                <w:szCs w:val="24"/>
              </w:rPr>
              <w:t>具备航空航天零部件热处理、表面处理、机械加工等外协加工工序的稳定承接与交付能力，拥有对应工序的专用生产设备与固定生产场地，可提供加工设备清单、生产场地证明及同类工序加工业绩证明；涉及特种工艺工序的，需具备对应工艺的合规资质或行业认证文件。</w:t>
            </w:r>
          </w:p>
        </w:tc>
      </w:tr>
    </w:tbl>
    <w:p w14:paraId="1AB28F39">
      <w:pPr>
        <w:ind w:firstLine="480"/>
      </w:pPr>
      <w:r>
        <w:rPr>
          <w:rFonts w:hint="eastAsia"/>
        </w:rPr>
        <w:t>（3）安全合规要求：</w:t>
      </w:r>
    </w:p>
    <w:p w14:paraId="5F685D0E">
      <w:pPr>
        <w:ind w:firstLine="480"/>
      </w:pPr>
      <w:r>
        <w:rPr>
          <w:rFonts w:hint="eastAsia"/>
        </w:rPr>
        <w:t>①提供书面声明，承诺近三年内自身生产、仓储、运输环节未发生较大及以上安全生产责任事故；</w:t>
      </w:r>
    </w:p>
    <w:p w14:paraId="6E296E1E">
      <w:pPr>
        <w:ind w:firstLine="480"/>
      </w:pPr>
      <w:r>
        <w:rPr>
          <w:rFonts w:hint="eastAsia"/>
        </w:rPr>
        <w:t>②企业配备专职安全管理人员，安全管理人员经专业培训考核合格，持有有效安全生产管理人员资格证书；</w:t>
      </w:r>
    </w:p>
    <w:p w14:paraId="1B19EBFF">
      <w:pPr>
        <w:ind w:firstLine="480"/>
      </w:pPr>
      <w:r>
        <w:rPr>
          <w:rFonts w:hint="eastAsia"/>
        </w:rPr>
        <w:t>③涉及原材料切割、热处理、仓储装卸、危化辅料使用等特种作业岗位人员，须经国家规定专项安全培训考核合格，持有对应工种《中华人民共和国特种作业操作证》，包含焊接与热切割、电工、起重作业等相关证件；</w:t>
      </w:r>
    </w:p>
    <w:p w14:paraId="233D86F1">
      <w:pPr>
        <w:ind w:firstLine="480"/>
      </w:pPr>
      <w:r>
        <w:rPr>
          <w:rFonts w:hint="eastAsia"/>
        </w:rPr>
        <w:t>（4）财务要求：具有良好的财务状况，近三年没有处于被责令停业、财产被接管、冻结破产状态，成立满三年的提供近三年经审计财务报表；成立不满三年的提供自成立以来财务报表；成立不满一年的可提供银行资信证明。</w:t>
      </w:r>
    </w:p>
    <w:p w14:paraId="2763AD6B">
      <w:pPr>
        <w:ind w:firstLine="480"/>
      </w:pPr>
      <w:r>
        <w:rPr>
          <w:rFonts w:hint="eastAsia"/>
        </w:rPr>
        <w:t>（5）信誉要求：</w:t>
      </w:r>
      <w:r>
        <w:t>具有良好的商业信誉，近三年以来在经营活动中无不诚信记录和无重大违法记录（提供书面声明）；“国家企业信用信息公示系统”（www.gsxt.gov.cn）中未列入“列入经营异常名录信息”、“严重违法失信名单（黑名单）信息”</w:t>
      </w:r>
      <w:r>
        <w:rPr>
          <w:rFonts w:hint="eastAsia"/>
        </w:rPr>
        <w:t>；“中国执行信息公开网”（</w:t>
      </w:r>
      <w:r>
        <w:fldChar w:fldCharType="begin"/>
      </w:r>
      <w:r>
        <w:instrText xml:space="preserve"> HYPERLINK "https://zxgk.court.gov.cn/" </w:instrText>
      </w:r>
      <w:r>
        <w:fldChar w:fldCharType="separate"/>
      </w:r>
      <w:r>
        <w:t>https://zxgk.court.gov.cn</w:t>
      </w:r>
      <w:r>
        <w:fldChar w:fldCharType="end"/>
      </w:r>
      <w:r>
        <w:rPr>
          <w:rFonts w:hint="eastAsia"/>
        </w:rPr>
        <w:t>）中未列入“失信被执行人”。</w:t>
      </w:r>
    </w:p>
    <w:bookmarkEnd w:id="2"/>
    <w:p w14:paraId="28B20D3B">
      <w:pPr>
        <w:pStyle w:val="3"/>
      </w:pPr>
      <w:r>
        <w:rPr>
          <w:rFonts w:hint="eastAsia"/>
        </w:rPr>
        <w:t>五、公告及报名时间</w:t>
      </w:r>
    </w:p>
    <w:p w14:paraId="3F7685FC">
      <w:pPr>
        <w:ind w:firstLine="480"/>
      </w:pPr>
      <w:r>
        <w:rPr>
          <w:rFonts w:hint="eastAsia"/>
        </w:rPr>
        <w:t>1、报名方式：通过登录济钢集团有限公司阳光购销平台网上报名，平台网址：http://bidding.jigang.com.cn/；</w:t>
      </w:r>
    </w:p>
    <w:p w14:paraId="4D24D5D9">
      <w:pPr>
        <w:ind w:firstLine="480"/>
      </w:pPr>
      <w:r>
        <w:rPr>
          <w:rFonts w:hint="eastAsia"/>
        </w:rPr>
        <w:t>2、公告和报名时间：</w:t>
      </w:r>
      <w:r>
        <w:rPr>
          <w:rFonts w:hint="eastAsia"/>
          <w:b/>
          <w:bCs/>
          <w:highlight w:val="yellow"/>
        </w:rPr>
        <w:t xml:space="preserve">2026年 </w:t>
      </w:r>
      <w:r>
        <w:rPr>
          <w:rFonts w:hint="eastAsia"/>
          <w:b/>
          <w:bCs/>
          <w:highlight w:val="yellow"/>
          <w:lang w:val="en-US" w:eastAsia="zh-CN"/>
        </w:rPr>
        <w:t>7</w:t>
      </w:r>
      <w:r>
        <w:rPr>
          <w:rFonts w:hint="eastAsia"/>
          <w:b/>
          <w:bCs/>
          <w:highlight w:val="yellow"/>
        </w:rPr>
        <w:t xml:space="preserve"> 月 </w:t>
      </w:r>
      <w:r>
        <w:rPr>
          <w:rFonts w:hint="eastAsia"/>
          <w:b/>
          <w:bCs/>
          <w:highlight w:val="yellow"/>
          <w:lang w:val="en-US" w:eastAsia="zh-CN"/>
        </w:rPr>
        <w:t>27</w:t>
      </w:r>
      <w:r>
        <w:rPr>
          <w:rFonts w:hint="eastAsia"/>
          <w:b/>
          <w:bCs/>
          <w:highlight w:val="yellow"/>
        </w:rPr>
        <w:t xml:space="preserve"> 日至2026年 </w:t>
      </w:r>
      <w:r>
        <w:rPr>
          <w:rFonts w:hint="eastAsia"/>
          <w:b/>
          <w:bCs/>
          <w:highlight w:val="yellow"/>
          <w:lang w:val="en-US" w:eastAsia="zh-CN"/>
        </w:rPr>
        <w:t>8</w:t>
      </w:r>
      <w:r>
        <w:rPr>
          <w:rFonts w:hint="eastAsia"/>
          <w:b/>
          <w:bCs/>
          <w:highlight w:val="yellow"/>
        </w:rPr>
        <w:t xml:space="preserve"> 月 </w:t>
      </w:r>
      <w:r>
        <w:rPr>
          <w:rFonts w:hint="eastAsia"/>
          <w:b/>
          <w:bCs/>
          <w:highlight w:val="yellow"/>
          <w:lang w:val="en-US" w:eastAsia="zh-CN"/>
        </w:rPr>
        <w:t>3</w:t>
      </w:r>
      <w:r>
        <w:rPr>
          <w:rFonts w:hint="eastAsia"/>
          <w:b/>
          <w:bCs/>
          <w:highlight w:val="yellow"/>
        </w:rPr>
        <w:t xml:space="preserve"> 日</w:t>
      </w:r>
      <w:r>
        <w:rPr>
          <w:rFonts w:hint="eastAsia"/>
        </w:rPr>
        <w:t>，逾期不再受理。</w:t>
      </w:r>
    </w:p>
    <w:p w14:paraId="042622BB">
      <w:pPr>
        <w:pStyle w:val="3"/>
      </w:pPr>
      <w:r>
        <w:rPr>
          <w:rFonts w:hint="eastAsia"/>
        </w:rPr>
        <w:t>六、招标文件:</w:t>
      </w:r>
    </w:p>
    <w:p w14:paraId="779FF44F">
      <w:pPr>
        <w:ind w:firstLine="480"/>
      </w:pPr>
      <w:r>
        <w:rPr>
          <w:rFonts w:hint="eastAsia"/>
        </w:rPr>
        <w:t>1、获取方式：凡有意参加的潜在投标人，在公告期内登陆：济钢集团有限公司阳光购销平台http://bidding.jigang.com.cn/，注册用户成功后，须修改初始密码，重新登录后报名，报名通过后方可下载招标文件；</w:t>
      </w:r>
    </w:p>
    <w:p w14:paraId="47C42B7E">
      <w:pPr>
        <w:ind w:firstLine="480"/>
        <w:rPr>
          <w:highlight w:val="yellow"/>
        </w:rPr>
      </w:pPr>
      <w:r>
        <w:rPr>
          <w:rFonts w:hint="eastAsia"/>
          <w:highlight w:val="yellow"/>
        </w:rPr>
        <w:t>2、售价：200元</w:t>
      </w:r>
      <w:r>
        <w:rPr>
          <w:rFonts w:hint="eastAsia"/>
          <w:highlight w:val="yellow"/>
          <w:lang w:val="en-US" w:eastAsia="zh-CN"/>
        </w:rPr>
        <w:t>/包</w:t>
      </w:r>
      <w:r>
        <w:rPr>
          <w:rFonts w:hint="eastAsia"/>
          <w:highlight w:val="yellow"/>
        </w:rPr>
        <w:t>。仅通过</w:t>
      </w:r>
      <w:r>
        <w:rPr>
          <w:rFonts w:hint="eastAsia"/>
          <w:b/>
          <w:bCs/>
          <w:highlight w:val="yellow"/>
        </w:rPr>
        <w:t>公对公账户转账</w:t>
      </w:r>
      <w:r>
        <w:rPr>
          <w:rFonts w:hint="eastAsia"/>
          <w:highlight w:val="yellow"/>
        </w:rPr>
        <w:t>进行网上购买</w:t>
      </w:r>
      <w:r>
        <w:rPr>
          <w:rFonts w:hint="eastAsia"/>
          <w:b/>
          <w:bCs/>
          <w:highlight w:val="yellow"/>
        </w:rPr>
        <w:t>（个人名义转账无效）</w:t>
      </w:r>
      <w:r>
        <w:rPr>
          <w:rFonts w:hint="eastAsia"/>
          <w:highlight w:val="yellow"/>
        </w:rPr>
        <w:t>，投标人</w:t>
      </w:r>
      <w:r>
        <w:rPr>
          <w:rFonts w:hint="eastAsia"/>
          <w:b/>
          <w:bCs/>
          <w:highlight w:val="yellow"/>
        </w:rPr>
        <w:t>汇款凭证及开票信息</w:t>
      </w:r>
      <w:r>
        <w:rPr>
          <w:rFonts w:hint="eastAsia"/>
          <w:highlight w:val="yellow"/>
        </w:rPr>
        <w:t>（公司名称、税号、地址、开户行及账号、电话等）通过电子邮件方式发送专用邮箱（hjkjcgzb@163.com）售后不退。汇款凭证发送后，招标人验证通过，方可下载招标文件。</w:t>
      </w:r>
    </w:p>
    <w:p w14:paraId="14267FF2">
      <w:pPr>
        <w:ind w:firstLine="480"/>
      </w:pPr>
      <w:r>
        <w:rPr>
          <w:rFonts w:hint="eastAsia"/>
        </w:rPr>
        <w:t>注意：领取招标文件时的资料查验不代表资格审查的最终通过或合格，投标人最终资格的确认以评标委员会的资格后审为准。</w:t>
      </w:r>
    </w:p>
    <w:p w14:paraId="55461CE4">
      <w:pPr>
        <w:ind w:firstLine="480"/>
      </w:pPr>
      <w:r>
        <w:rPr>
          <w:rFonts w:hint="eastAsia"/>
        </w:rPr>
        <w:t>3、缴纳标书费账户信息：</w:t>
      </w:r>
    </w:p>
    <w:p w14:paraId="438969F5">
      <w:pPr>
        <w:ind w:firstLine="480"/>
      </w:pPr>
      <w:r>
        <w:rPr>
          <w:rFonts w:hint="eastAsia"/>
        </w:rPr>
        <w:t>单位名称：</w:t>
      </w:r>
      <w:r>
        <w:t>山东济钢航空航天</w:t>
      </w:r>
      <w:r>
        <w:rPr>
          <w:rFonts w:hint="eastAsia"/>
        </w:rPr>
        <w:t>精工制造</w:t>
      </w:r>
      <w:r>
        <w:t>有限公司</w:t>
      </w:r>
    </w:p>
    <w:p w14:paraId="6370F446">
      <w:pPr>
        <w:ind w:firstLine="480"/>
      </w:pPr>
      <w:r>
        <w:rPr>
          <w:rFonts w:hint="eastAsia"/>
        </w:rPr>
        <w:t>税号：913701127262190790</w:t>
      </w:r>
    </w:p>
    <w:p w14:paraId="603B29EF">
      <w:pPr>
        <w:ind w:firstLine="480"/>
      </w:pPr>
      <w:r>
        <w:rPr>
          <w:rFonts w:hint="eastAsia"/>
        </w:rPr>
        <w:t>地址：山东省济南市历城区机场路11977号116室</w:t>
      </w:r>
    </w:p>
    <w:p w14:paraId="11DDE870">
      <w:pPr>
        <w:ind w:firstLine="480"/>
      </w:pPr>
      <w:r>
        <w:rPr>
          <w:rFonts w:hint="eastAsia"/>
        </w:rPr>
        <w:t>电话：0531-88841121</w:t>
      </w:r>
    </w:p>
    <w:p w14:paraId="257A0CA0">
      <w:pPr>
        <w:ind w:firstLine="480"/>
      </w:pPr>
      <w:r>
        <w:rPr>
          <w:rFonts w:hint="eastAsia"/>
        </w:rPr>
        <w:t>开户行：中国工商银行济南市东城支行</w:t>
      </w:r>
    </w:p>
    <w:p w14:paraId="0102F390">
      <w:pPr>
        <w:ind w:firstLine="480"/>
      </w:pPr>
      <w:r>
        <w:rPr>
          <w:rFonts w:hint="eastAsia"/>
        </w:rPr>
        <w:t>帐号：1602003409004100414</w:t>
      </w:r>
    </w:p>
    <w:p w14:paraId="690B0B1D">
      <w:pPr>
        <w:ind w:firstLine="480"/>
      </w:pPr>
      <w:r>
        <w:rPr>
          <w:rFonts w:hint="eastAsia"/>
        </w:rPr>
        <w:t>行号：102451000344</w:t>
      </w:r>
    </w:p>
    <w:p w14:paraId="6E77A37F">
      <w:pPr>
        <w:pStyle w:val="3"/>
      </w:pPr>
      <w:r>
        <w:rPr>
          <w:rFonts w:hint="eastAsia"/>
        </w:rPr>
        <w:t>七、投标保证金：</w:t>
      </w:r>
      <w:r>
        <w:rPr>
          <w:rFonts w:hint="eastAsia"/>
          <w:b w:val="0"/>
          <w:bCs w:val="0"/>
        </w:rPr>
        <w:t>无。</w:t>
      </w:r>
    </w:p>
    <w:p w14:paraId="27BE3E3F">
      <w:pPr>
        <w:pStyle w:val="3"/>
      </w:pPr>
      <w:r>
        <w:rPr>
          <w:rFonts w:hint="eastAsia"/>
        </w:rPr>
        <w:t>八、投标文件的递交</w:t>
      </w:r>
    </w:p>
    <w:p w14:paraId="12F87844">
      <w:pPr>
        <w:ind w:firstLine="480"/>
        <w:rPr>
          <w:rFonts w:hint="eastAsia"/>
          <w:lang w:val="en-US" w:eastAsia="zh-CN"/>
        </w:rPr>
      </w:pPr>
      <w:r>
        <w:rPr>
          <w:rFonts w:hint="eastAsia"/>
          <w:lang w:val="en-US" w:eastAsia="zh-CN"/>
        </w:rPr>
        <w:t>1、现场递交</w:t>
      </w:r>
      <w:r>
        <w:rPr>
          <w:rFonts w:hint="default"/>
          <w:lang w:val="en-US" w:eastAsia="zh-CN"/>
        </w:rPr>
        <w:t>：投标人需在2026年8月11日上午9:00前，将密封完好的投标文件递交至山东济钢航空航天精工制造有限公司办公楼2楼招标室，完成现场签到后离场；</w:t>
      </w:r>
    </w:p>
    <w:p w14:paraId="10B27A11">
      <w:pPr>
        <w:ind w:firstLine="480"/>
        <w:rPr>
          <w:rFonts w:hint="eastAsia"/>
          <w:lang w:val="en-US" w:eastAsia="zh-CN"/>
        </w:rPr>
      </w:pPr>
      <w:r>
        <w:rPr>
          <w:rFonts w:hint="eastAsia"/>
          <w:lang w:val="en-US" w:eastAsia="zh-CN"/>
        </w:rPr>
        <w:t>2、</w:t>
      </w:r>
      <w:r>
        <w:rPr>
          <w:rFonts w:hint="default"/>
          <w:color w:val="auto"/>
          <w:highlight w:val="yellow"/>
          <w:lang w:val="en-US" w:eastAsia="zh-CN"/>
        </w:rPr>
        <w:t>邮寄递交：</w:t>
      </w:r>
      <w:r>
        <w:rPr>
          <w:rFonts w:hint="default"/>
          <w:lang w:val="en-US" w:eastAsia="zh-CN"/>
        </w:rPr>
        <w:t>投标人需确保投标文件在2026年8月11日上午9:00前送达</w:t>
      </w:r>
      <w:r>
        <w:rPr>
          <w:rFonts w:hint="eastAsia"/>
          <w:lang w:val="en-US" w:eastAsia="zh-CN"/>
        </w:rPr>
        <w:t>山东省济南市历城区机场路11977号（空天精工公司）</w:t>
      </w:r>
      <w:r>
        <w:rPr>
          <w:rFonts w:hint="default"/>
          <w:lang w:val="en-US" w:eastAsia="zh-CN"/>
        </w:rPr>
        <w:t>，邮寄过程中的延误、损坏等风险由投标人自行承担。</w:t>
      </w:r>
    </w:p>
    <w:p w14:paraId="34079345">
      <w:pPr>
        <w:ind w:firstLine="480"/>
      </w:pPr>
      <w:r>
        <w:rPr>
          <w:rFonts w:hint="eastAsia"/>
          <w:lang w:val="en-US" w:eastAsia="zh-CN"/>
        </w:rPr>
        <w:t>3</w:t>
      </w:r>
      <w:r>
        <w:rPr>
          <w:rFonts w:hint="eastAsia"/>
        </w:rPr>
        <w:t>、逾期送达的、未送达指定地点的或者不按照招标文件要求密封的投标文件，招标人将予以拒收。</w:t>
      </w:r>
    </w:p>
    <w:p w14:paraId="2C2F4E62">
      <w:pPr>
        <w:pStyle w:val="3"/>
      </w:pPr>
      <w:r>
        <w:rPr>
          <w:rFonts w:hint="eastAsia"/>
        </w:rPr>
        <w:t>九、资格审查方式</w:t>
      </w:r>
    </w:p>
    <w:p w14:paraId="7655534A">
      <w:pPr>
        <w:ind w:firstLine="480"/>
      </w:pPr>
      <w:r>
        <w:rPr>
          <w:rFonts w:hint="eastAsia"/>
        </w:rPr>
        <w:t>资格后审；开标后，评标委员会对投标单位的资质文件进行评审。评审合格的进入下一阶段评审；评审不合格的按废标处理，投标文件将被退回，标书费不退。</w:t>
      </w:r>
    </w:p>
    <w:p w14:paraId="772215C8">
      <w:pPr>
        <w:pStyle w:val="3"/>
      </w:pPr>
      <w:r>
        <w:rPr>
          <w:rFonts w:hint="eastAsia"/>
        </w:rPr>
        <w:t>十、联系方式</w:t>
      </w:r>
    </w:p>
    <w:p w14:paraId="42D09DE8">
      <w:pPr>
        <w:ind w:firstLine="480"/>
      </w:pPr>
      <w:r>
        <w:rPr>
          <w:rFonts w:hint="eastAsia"/>
        </w:rPr>
        <w:t>招标联系人：贺工，联系电话：15666978371；</w:t>
      </w:r>
    </w:p>
    <w:p w14:paraId="07173569">
      <w:pPr>
        <w:ind w:firstLine="480"/>
      </w:pPr>
      <w:r>
        <w:rPr>
          <w:rFonts w:hint="eastAsia"/>
        </w:rPr>
        <w:t>业务联系人：</w:t>
      </w:r>
      <w:bookmarkStart w:id="4" w:name="_Hlk197610744"/>
      <w:r>
        <w:rPr>
          <w:rFonts w:hint="eastAsia"/>
        </w:rPr>
        <w:t>刘工，联系电话：13780719226。</w:t>
      </w:r>
      <w:bookmarkEnd w:id="4"/>
    </w:p>
    <w:p w14:paraId="45CF7962">
      <w:pPr>
        <w:pStyle w:val="3"/>
      </w:pPr>
      <w:r>
        <w:rPr>
          <w:rFonts w:hint="eastAsia"/>
        </w:rPr>
        <w:t>十一、解决合同纠纷的方式</w:t>
      </w:r>
    </w:p>
    <w:p w14:paraId="2A4C0B70">
      <w:pPr>
        <w:ind w:firstLine="480"/>
      </w:pPr>
      <w:r>
        <w:rPr>
          <w:rFonts w:hint="eastAsia"/>
        </w:rPr>
        <w:t>双方友好协商解决，协商不成提交招标人所在地人民法院诉讼解决。</w:t>
      </w:r>
    </w:p>
    <w:p w14:paraId="70CC55BE">
      <w:pPr>
        <w:pStyle w:val="3"/>
      </w:pPr>
      <w:r>
        <w:rPr>
          <w:rFonts w:hint="eastAsia"/>
        </w:rPr>
        <w:t>十二、供应商库动态管理</w:t>
      </w:r>
    </w:p>
    <w:p w14:paraId="53B8D5CB">
      <w:pPr>
        <w:ind w:firstLine="480"/>
      </w:pPr>
      <w:r>
        <w:rPr>
          <w:rFonts w:hint="eastAsia"/>
        </w:rPr>
        <w:t>本项目供应商库实行动态增补机制。入围有效期内，招标人不定期受理新供应商增补申请，按本招标文件规定的资格条件和评审标准审核，合格者纳入供应商库，与原入围供应商享有同等权利。</w:t>
      </w:r>
    </w:p>
    <w:p w14:paraId="1EC054C3">
      <w:pPr>
        <w:pStyle w:val="3"/>
        <w:sectPr>
          <w:footerReference r:id="rId5" w:type="default"/>
          <w:pgSz w:w="11906" w:h="16838"/>
          <w:pgMar w:top="1440" w:right="1800" w:bottom="1440" w:left="1800" w:header="851" w:footer="567" w:gutter="0"/>
          <w:pgNumType w:start="1"/>
          <w:cols w:space="425" w:num="1"/>
          <w:docGrid w:type="lines" w:linePitch="381" w:charSpace="0"/>
        </w:sectPr>
      </w:pPr>
      <w:r>
        <w:rPr>
          <w:rFonts w:hint="eastAsia"/>
        </w:rPr>
        <w:t>十三、招标内容和其他要求以最终的招标文件为准。</w:t>
      </w:r>
    </w:p>
    <w:bookmarkEnd w:id="1"/>
    <w:p w14:paraId="574BCCDF">
      <w:pPr>
        <w:pStyle w:val="3"/>
      </w:pPr>
    </w:p>
    <w:sectPr>
      <w:headerReference r:id="rId6" w:type="default"/>
      <w:footerReference r:id="rId7" w:type="default"/>
      <w:pgSz w:w="11906" w:h="16838"/>
      <w:pgMar w:top="1440" w:right="1800" w:bottom="1440" w:left="1800" w:header="0" w:footer="567" w:gutter="0"/>
      <w:cols w:space="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353"/>
    </w:sdtPr>
    <w:sdtContent>
      <w:p w14:paraId="3EBF8F40">
        <w:pPr>
          <w:pStyle w:val="17"/>
          <w:ind w:firstLine="360"/>
          <w:jc w:val="center"/>
        </w:pPr>
        <w:r>
          <w:fldChar w:fldCharType="begin"/>
        </w:r>
        <w:r>
          <w:instrText xml:space="preserve">PAGE   \* MERGEFORMAT</w:instrText>
        </w:r>
        <w:r>
          <w:fldChar w:fldCharType="separate"/>
        </w:r>
        <w:r>
          <w:rPr>
            <w:lang w:val="zh-CN"/>
          </w:rPr>
          <w:t>2</w:t>
        </w:r>
        <w:r>
          <w:fldChar w:fldCharType="end"/>
        </w:r>
      </w:p>
    </w:sdtContent>
  </w:sdt>
  <w:p w14:paraId="6811DBED">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534393"/>
    </w:sdtPr>
    <w:sdtContent>
      <w:p w14:paraId="646C9EE8">
        <w:pPr>
          <w:pStyle w:val="17"/>
          <w:ind w:firstLine="360"/>
          <w:jc w:val="center"/>
        </w:pPr>
        <w:r>
          <w:fldChar w:fldCharType="begin"/>
        </w:r>
        <w:r>
          <w:instrText xml:space="preserve">PAGE   \* MERGEFORMAT</w:instrText>
        </w:r>
        <w:r>
          <w:fldChar w:fldCharType="separate"/>
        </w:r>
        <w:r>
          <w:rPr>
            <w:lang w:val="zh-CN"/>
          </w:rPr>
          <w:t>2</w:t>
        </w:r>
        <w:r>
          <w:fldChar w:fldCharType="end"/>
        </w:r>
      </w:p>
    </w:sdtContent>
  </w:sdt>
  <w:p w14:paraId="491BE207">
    <w:pPr>
      <w:pStyle w:val="1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4BB97">
    <w:pPr>
      <w:pStyle w:val="1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725"/>
    <w:rsid w:val="0001058F"/>
    <w:rsid w:val="00016741"/>
    <w:rsid w:val="000176D5"/>
    <w:rsid w:val="00021FC8"/>
    <w:rsid w:val="000234E6"/>
    <w:rsid w:val="000236FE"/>
    <w:rsid w:val="00023ED4"/>
    <w:rsid w:val="00031C04"/>
    <w:rsid w:val="00032264"/>
    <w:rsid w:val="0004203B"/>
    <w:rsid w:val="00057C2A"/>
    <w:rsid w:val="00062BD4"/>
    <w:rsid w:val="00063DBC"/>
    <w:rsid w:val="000651BF"/>
    <w:rsid w:val="00077478"/>
    <w:rsid w:val="000776AC"/>
    <w:rsid w:val="00080C72"/>
    <w:rsid w:val="00081BEC"/>
    <w:rsid w:val="00084F41"/>
    <w:rsid w:val="00090725"/>
    <w:rsid w:val="000A556A"/>
    <w:rsid w:val="000A75A7"/>
    <w:rsid w:val="000B1432"/>
    <w:rsid w:val="000B5846"/>
    <w:rsid w:val="000B5ADA"/>
    <w:rsid w:val="000C10AE"/>
    <w:rsid w:val="000C1F84"/>
    <w:rsid w:val="000D2B68"/>
    <w:rsid w:val="000D43A9"/>
    <w:rsid w:val="000E61E3"/>
    <w:rsid w:val="000E624D"/>
    <w:rsid w:val="000F59E4"/>
    <w:rsid w:val="000F6534"/>
    <w:rsid w:val="00101B90"/>
    <w:rsid w:val="00102240"/>
    <w:rsid w:val="00105639"/>
    <w:rsid w:val="00107728"/>
    <w:rsid w:val="001114BC"/>
    <w:rsid w:val="00112EC2"/>
    <w:rsid w:val="001230F7"/>
    <w:rsid w:val="00123F6B"/>
    <w:rsid w:val="00132EAB"/>
    <w:rsid w:val="00134A34"/>
    <w:rsid w:val="001356AD"/>
    <w:rsid w:val="00140CBB"/>
    <w:rsid w:val="001429A1"/>
    <w:rsid w:val="00142E20"/>
    <w:rsid w:val="00144818"/>
    <w:rsid w:val="00147ABD"/>
    <w:rsid w:val="00147D34"/>
    <w:rsid w:val="00156075"/>
    <w:rsid w:val="00157F29"/>
    <w:rsid w:val="00161D09"/>
    <w:rsid w:val="00175DDE"/>
    <w:rsid w:val="0017776E"/>
    <w:rsid w:val="00187ADA"/>
    <w:rsid w:val="00192560"/>
    <w:rsid w:val="001974CF"/>
    <w:rsid w:val="001A5C09"/>
    <w:rsid w:val="001B0A00"/>
    <w:rsid w:val="001C4EF3"/>
    <w:rsid w:val="001C5B41"/>
    <w:rsid w:val="001D02B1"/>
    <w:rsid w:val="001D1665"/>
    <w:rsid w:val="001D5AB1"/>
    <w:rsid w:val="001E65DB"/>
    <w:rsid w:val="00204BC5"/>
    <w:rsid w:val="00207387"/>
    <w:rsid w:val="00212BDE"/>
    <w:rsid w:val="00213AA1"/>
    <w:rsid w:val="0022072A"/>
    <w:rsid w:val="00222DDF"/>
    <w:rsid w:val="00233A46"/>
    <w:rsid w:val="00234325"/>
    <w:rsid w:val="00236BE6"/>
    <w:rsid w:val="0023785A"/>
    <w:rsid w:val="0024286A"/>
    <w:rsid w:val="00244EC1"/>
    <w:rsid w:val="00251A38"/>
    <w:rsid w:val="002523C3"/>
    <w:rsid w:val="0025425C"/>
    <w:rsid w:val="00256151"/>
    <w:rsid w:val="0026296A"/>
    <w:rsid w:val="00263EBE"/>
    <w:rsid w:val="00265E0C"/>
    <w:rsid w:val="00270485"/>
    <w:rsid w:val="002774FE"/>
    <w:rsid w:val="002775EB"/>
    <w:rsid w:val="002853AD"/>
    <w:rsid w:val="00290E4F"/>
    <w:rsid w:val="00293D82"/>
    <w:rsid w:val="0029725D"/>
    <w:rsid w:val="002A0C61"/>
    <w:rsid w:val="002B375A"/>
    <w:rsid w:val="002B3916"/>
    <w:rsid w:val="002B7781"/>
    <w:rsid w:val="002C11D2"/>
    <w:rsid w:val="002C7301"/>
    <w:rsid w:val="002D3F3D"/>
    <w:rsid w:val="002D5BE7"/>
    <w:rsid w:val="002D78F3"/>
    <w:rsid w:val="002E0649"/>
    <w:rsid w:val="002E223D"/>
    <w:rsid w:val="002E537F"/>
    <w:rsid w:val="002F016D"/>
    <w:rsid w:val="002F4C5B"/>
    <w:rsid w:val="00300871"/>
    <w:rsid w:val="003021E4"/>
    <w:rsid w:val="0030468A"/>
    <w:rsid w:val="00304783"/>
    <w:rsid w:val="003053EE"/>
    <w:rsid w:val="00311698"/>
    <w:rsid w:val="00312631"/>
    <w:rsid w:val="003140C9"/>
    <w:rsid w:val="00320B97"/>
    <w:rsid w:val="00322243"/>
    <w:rsid w:val="00332025"/>
    <w:rsid w:val="003376E0"/>
    <w:rsid w:val="003376FB"/>
    <w:rsid w:val="003436F1"/>
    <w:rsid w:val="003457D2"/>
    <w:rsid w:val="00354E33"/>
    <w:rsid w:val="0036190F"/>
    <w:rsid w:val="0036240E"/>
    <w:rsid w:val="00365B94"/>
    <w:rsid w:val="003674ED"/>
    <w:rsid w:val="00370DE6"/>
    <w:rsid w:val="00373847"/>
    <w:rsid w:val="003904FA"/>
    <w:rsid w:val="003917B7"/>
    <w:rsid w:val="0039220B"/>
    <w:rsid w:val="00395521"/>
    <w:rsid w:val="0039669E"/>
    <w:rsid w:val="003A234E"/>
    <w:rsid w:val="003A3517"/>
    <w:rsid w:val="003B0EBB"/>
    <w:rsid w:val="003B6CE9"/>
    <w:rsid w:val="003B723C"/>
    <w:rsid w:val="003C5247"/>
    <w:rsid w:val="003C68E3"/>
    <w:rsid w:val="003C6C67"/>
    <w:rsid w:val="003C76C4"/>
    <w:rsid w:val="003D11D1"/>
    <w:rsid w:val="003D1ADC"/>
    <w:rsid w:val="003E20CD"/>
    <w:rsid w:val="003E4D1D"/>
    <w:rsid w:val="003E4D41"/>
    <w:rsid w:val="003E6F2B"/>
    <w:rsid w:val="003F45E6"/>
    <w:rsid w:val="003F477C"/>
    <w:rsid w:val="00403CEE"/>
    <w:rsid w:val="00405E49"/>
    <w:rsid w:val="00414D4C"/>
    <w:rsid w:val="00416AF7"/>
    <w:rsid w:val="004214DC"/>
    <w:rsid w:val="004232D8"/>
    <w:rsid w:val="00425BD6"/>
    <w:rsid w:val="004265EA"/>
    <w:rsid w:val="004273A8"/>
    <w:rsid w:val="004317E8"/>
    <w:rsid w:val="0043388C"/>
    <w:rsid w:val="0043506A"/>
    <w:rsid w:val="00441F08"/>
    <w:rsid w:val="00443F5C"/>
    <w:rsid w:val="00444D8B"/>
    <w:rsid w:val="00454D79"/>
    <w:rsid w:val="00460041"/>
    <w:rsid w:val="00460667"/>
    <w:rsid w:val="004612E8"/>
    <w:rsid w:val="00464954"/>
    <w:rsid w:val="00465CDC"/>
    <w:rsid w:val="004742D7"/>
    <w:rsid w:val="00477CC6"/>
    <w:rsid w:val="00493FD1"/>
    <w:rsid w:val="004A0071"/>
    <w:rsid w:val="004A3A07"/>
    <w:rsid w:val="004A53C7"/>
    <w:rsid w:val="004A54D5"/>
    <w:rsid w:val="004B61C0"/>
    <w:rsid w:val="004C29D9"/>
    <w:rsid w:val="004C2B12"/>
    <w:rsid w:val="004C4F55"/>
    <w:rsid w:val="004C5125"/>
    <w:rsid w:val="004D1C1B"/>
    <w:rsid w:val="004D58BA"/>
    <w:rsid w:val="004D5A83"/>
    <w:rsid w:val="004D6790"/>
    <w:rsid w:val="004D6D64"/>
    <w:rsid w:val="004E02AB"/>
    <w:rsid w:val="004E2EC9"/>
    <w:rsid w:val="004E427B"/>
    <w:rsid w:val="004E5B48"/>
    <w:rsid w:val="004E6664"/>
    <w:rsid w:val="004F42A2"/>
    <w:rsid w:val="004F695B"/>
    <w:rsid w:val="004F6D22"/>
    <w:rsid w:val="00510778"/>
    <w:rsid w:val="00513435"/>
    <w:rsid w:val="00522982"/>
    <w:rsid w:val="0052714A"/>
    <w:rsid w:val="00532E34"/>
    <w:rsid w:val="00534728"/>
    <w:rsid w:val="005350C2"/>
    <w:rsid w:val="005356B1"/>
    <w:rsid w:val="00542411"/>
    <w:rsid w:val="0054324D"/>
    <w:rsid w:val="00545C20"/>
    <w:rsid w:val="005464CC"/>
    <w:rsid w:val="00552720"/>
    <w:rsid w:val="005527DC"/>
    <w:rsid w:val="00553367"/>
    <w:rsid w:val="00556C52"/>
    <w:rsid w:val="00557A94"/>
    <w:rsid w:val="005618F2"/>
    <w:rsid w:val="00564BB5"/>
    <w:rsid w:val="00565EEF"/>
    <w:rsid w:val="00570A5F"/>
    <w:rsid w:val="005743DE"/>
    <w:rsid w:val="00575AB9"/>
    <w:rsid w:val="00577ABC"/>
    <w:rsid w:val="00580538"/>
    <w:rsid w:val="005807A6"/>
    <w:rsid w:val="00581D9E"/>
    <w:rsid w:val="0058227B"/>
    <w:rsid w:val="005837BF"/>
    <w:rsid w:val="005857E6"/>
    <w:rsid w:val="00593306"/>
    <w:rsid w:val="005971C2"/>
    <w:rsid w:val="005A315F"/>
    <w:rsid w:val="005A4527"/>
    <w:rsid w:val="005A5848"/>
    <w:rsid w:val="005A5FE1"/>
    <w:rsid w:val="005B60C0"/>
    <w:rsid w:val="005B6B94"/>
    <w:rsid w:val="005D429F"/>
    <w:rsid w:val="005D5D04"/>
    <w:rsid w:val="005E6CF1"/>
    <w:rsid w:val="005F08B8"/>
    <w:rsid w:val="005F4DF4"/>
    <w:rsid w:val="006028EA"/>
    <w:rsid w:val="006038C1"/>
    <w:rsid w:val="00611870"/>
    <w:rsid w:val="00613B58"/>
    <w:rsid w:val="00620162"/>
    <w:rsid w:val="006209CF"/>
    <w:rsid w:val="006219F1"/>
    <w:rsid w:val="00633E7C"/>
    <w:rsid w:val="00642897"/>
    <w:rsid w:val="00646577"/>
    <w:rsid w:val="0065000F"/>
    <w:rsid w:val="00650FA9"/>
    <w:rsid w:val="00651E33"/>
    <w:rsid w:val="0066013F"/>
    <w:rsid w:val="0066026F"/>
    <w:rsid w:val="0066224B"/>
    <w:rsid w:val="006649B3"/>
    <w:rsid w:val="00666829"/>
    <w:rsid w:val="00666A4D"/>
    <w:rsid w:val="0067070D"/>
    <w:rsid w:val="00673D1E"/>
    <w:rsid w:val="00675383"/>
    <w:rsid w:val="00676A94"/>
    <w:rsid w:val="00684A90"/>
    <w:rsid w:val="00694407"/>
    <w:rsid w:val="00696AFE"/>
    <w:rsid w:val="006A2E03"/>
    <w:rsid w:val="006A3E85"/>
    <w:rsid w:val="006B147B"/>
    <w:rsid w:val="006C01F2"/>
    <w:rsid w:val="006C173B"/>
    <w:rsid w:val="006C259E"/>
    <w:rsid w:val="006C2F45"/>
    <w:rsid w:val="006C67AC"/>
    <w:rsid w:val="006D14ED"/>
    <w:rsid w:val="006D6BEC"/>
    <w:rsid w:val="006F0334"/>
    <w:rsid w:val="006F589A"/>
    <w:rsid w:val="0070538A"/>
    <w:rsid w:val="00707D21"/>
    <w:rsid w:val="0071008D"/>
    <w:rsid w:val="00716B41"/>
    <w:rsid w:val="0072066F"/>
    <w:rsid w:val="007211B3"/>
    <w:rsid w:val="00722337"/>
    <w:rsid w:val="007256D4"/>
    <w:rsid w:val="00726C1A"/>
    <w:rsid w:val="00743D49"/>
    <w:rsid w:val="0074738E"/>
    <w:rsid w:val="0075133F"/>
    <w:rsid w:val="0075616C"/>
    <w:rsid w:val="00760FEC"/>
    <w:rsid w:val="00764896"/>
    <w:rsid w:val="007652BB"/>
    <w:rsid w:val="007757D7"/>
    <w:rsid w:val="007769BC"/>
    <w:rsid w:val="00776BF5"/>
    <w:rsid w:val="00777ACF"/>
    <w:rsid w:val="00777BC2"/>
    <w:rsid w:val="00782027"/>
    <w:rsid w:val="00783625"/>
    <w:rsid w:val="00783DD9"/>
    <w:rsid w:val="00793B08"/>
    <w:rsid w:val="00795EFC"/>
    <w:rsid w:val="007A0173"/>
    <w:rsid w:val="007A2496"/>
    <w:rsid w:val="007A7CDB"/>
    <w:rsid w:val="007B4BF1"/>
    <w:rsid w:val="007B65C3"/>
    <w:rsid w:val="007B6E03"/>
    <w:rsid w:val="007C3D09"/>
    <w:rsid w:val="007D33EA"/>
    <w:rsid w:val="007E073A"/>
    <w:rsid w:val="007E2267"/>
    <w:rsid w:val="007E5A74"/>
    <w:rsid w:val="007E670F"/>
    <w:rsid w:val="007F02D0"/>
    <w:rsid w:val="007F05E0"/>
    <w:rsid w:val="007F1AA0"/>
    <w:rsid w:val="007F2AD5"/>
    <w:rsid w:val="007F7699"/>
    <w:rsid w:val="007F783B"/>
    <w:rsid w:val="008003E4"/>
    <w:rsid w:val="008046E0"/>
    <w:rsid w:val="00810873"/>
    <w:rsid w:val="00811042"/>
    <w:rsid w:val="0081116C"/>
    <w:rsid w:val="008114B3"/>
    <w:rsid w:val="0082410F"/>
    <w:rsid w:val="00825925"/>
    <w:rsid w:val="0082771F"/>
    <w:rsid w:val="00830065"/>
    <w:rsid w:val="00842FF5"/>
    <w:rsid w:val="008467FA"/>
    <w:rsid w:val="00852F93"/>
    <w:rsid w:val="00853F3F"/>
    <w:rsid w:val="00854D1F"/>
    <w:rsid w:val="008572E5"/>
    <w:rsid w:val="00857E95"/>
    <w:rsid w:val="00860026"/>
    <w:rsid w:val="00865662"/>
    <w:rsid w:val="008669FC"/>
    <w:rsid w:val="00870EFC"/>
    <w:rsid w:val="0087536A"/>
    <w:rsid w:val="00886D1F"/>
    <w:rsid w:val="008921DB"/>
    <w:rsid w:val="008A3F9E"/>
    <w:rsid w:val="008A61F0"/>
    <w:rsid w:val="008B0428"/>
    <w:rsid w:val="008B1D3F"/>
    <w:rsid w:val="008C0F65"/>
    <w:rsid w:val="008C1745"/>
    <w:rsid w:val="008C4B5E"/>
    <w:rsid w:val="008C6280"/>
    <w:rsid w:val="008C64CE"/>
    <w:rsid w:val="008C7818"/>
    <w:rsid w:val="008E5611"/>
    <w:rsid w:val="008F48FB"/>
    <w:rsid w:val="008F534F"/>
    <w:rsid w:val="008F58C2"/>
    <w:rsid w:val="008F62C5"/>
    <w:rsid w:val="00917FFB"/>
    <w:rsid w:val="009207FD"/>
    <w:rsid w:val="009231F5"/>
    <w:rsid w:val="00924CBF"/>
    <w:rsid w:val="00927A9E"/>
    <w:rsid w:val="009345CA"/>
    <w:rsid w:val="00936D0F"/>
    <w:rsid w:val="00937E25"/>
    <w:rsid w:val="00946B54"/>
    <w:rsid w:val="00956408"/>
    <w:rsid w:val="00961843"/>
    <w:rsid w:val="009672E6"/>
    <w:rsid w:val="00970974"/>
    <w:rsid w:val="009735F4"/>
    <w:rsid w:val="00974BD7"/>
    <w:rsid w:val="00981282"/>
    <w:rsid w:val="00983C18"/>
    <w:rsid w:val="009865A0"/>
    <w:rsid w:val="00997396"/>
    <w:rsid w:val="009A409C"/>
    <w:rsid w:val="009A6A6B"/>
    <w:rsid w:val="009A6B3F"/>
    <w:rsid w:val="009B3B36"/>
    <w:rsid w:val="009B583F"/>
    <w:rsid w:val="009B688A"/>
    <w:rsid w:val="009C4A0C"/>
    <w:rsid w:val="009C4BE4"/>
    <w:rsid w:val="009D51AE"/>
    <w:rsid w:val="009E5BE6"/>
    <w:rsid w:val="009F05C3"/>
    <w:rsid w:val="009F4874"/>
    <w:rsid w:val="00A01939"/>
    <w:rsid w:val="00A04EEE"/>
    <w:rsid w:val="00A05BA1"/>
    <w:rsid w:val="00A1587C"/>
    <w:rsid w:val="00A172D1"/>
    <w:rsid w:val="00A21622"/>
    <w:rsid w:val="00A24DBA"/>
    <w:rsid w:val="00A30B42"/>
    <w:rsid w:val="00A311B1"/>
    <w:rsid w:val="00A34264"/>
    <w:rsid w:val="00A346E0"/>
    <w:rsid w:val="00A47F3F"/>
    <w:rsid w:val="00A71F0C"/>
    <w:rsid w:val="00A77428"/>
    <w:rsid w:val="00A77683"/>
    <w:rsid w:val="00A834DA"/>
    <w:rsid w:val="00A844F2"/>
    <w:rsid w:val="00A8540B"/>
    <w:rsid w:val="00A85425"/>
    <w:rsid w:val="00A858B6"/>
    <w:rsid w:val="00A9074F"/>
    <w:rsid w:val="00A925C8"/>
    <w:rsid w:val="00A93201"/>
    <w:rsid w:val="00A9507C"/>
    <w:rsid w:val="00A97042"/>
    <w:rsid w:val="00A97B6B"/>
    <w:rsid w:val="00AA236E"/>
    <w:rsid w:val="00AA70C6"/>
    <w:rsid w:val="00AB0F0B"/>
    <w:rsid w:val="00AC6D44"/>
    <w:rsid w:val="00AD21D8"/>
    <w:rsid w:val="00AD318D"/>
    <w:rsid w:val="00AD4105"/>
    <w:rsid w:val="00AD47AE"/>
    <w:rsid w:val="00AD4862"/>
    <w:rsid w:val="00AD5CBB"/>
    <w:rsid w:val="00AD5DFD"/>
    <w:rsid w:val="00AE3FB0"/>
    <w:rsid w:val="00AE7405"/>
    <w:rsid w:val="00AE7492"/>
    <w:rsid w:val="00AF01F8"/>
    <w:rsid w:val="00AF31B6"/>
    <w:rsid w:val="00AF500C"/>
    <w:rsid w:val="00B00F34"/>
    <w:rsid w:val="00B01143"/>
    <w:rsid w:val="00B01196"/>
    <w:rsid w:val="00B01990"/>
    <w:rsid w:val="00B03566"/>
    <w:rsid w:val="00B1613F"/>
    <w:rsid w:val="00B1790E"/>
    <w:rsid w:val="00B17C3A"/>
    <w:rsid w:val="00B21806"/>
    <w:rsid w:val="00B22A78"/>
    <w:rsid w:val="00B26A06"/>
    <w:rsid w:val="00B2715F"/>
    <w:rsid w:val="00B3254D"/>
    <w:rsid w:val="00B44A3C"/>
    <w:rsid w:val="00B45644"/>
    <w:rsid w:val="00B458CB"/>
    <w:rsid w:val="00B45E7F"/>
    <w:rsid w:val="00B46128"/>
    <w:rsid w:val="00B50CE5"/>
    <w:rsid w:val="00B51ABC"/>
    <w:rsid w:val="00B527C2"/>
    <w:rsid w:val="00B60653"/>
    <w:rsid w:val="00B6067B"/>
    <w:rsid w:val="00B66C46"/>
    <w:rsid w:val="00B73974"/>
    <w:rsid w:val="00B73DED"/>
    <w:rsid w:val="00B74320"/>
    <w:rsid w:val="00B77E39"/>
    <w:rsid w:val="00B81AFB"/>
    <w:rsid w:val="00B83E28"/>
    <w:rsid w:val="00B869C8"/>
    <w:rsid w:val="00B911FC"/>
    <w:rsid w:val="00B93B3B"/>
    <w:rsid w:val="00B97E53"/>
    <w:rsid w:val="00BA1165"/>
    <w:rsid w:val="00BA1D4E"/>
    <w:rsid w:val="00BA5441"/>
    <w:rsid w:val="00BA7726"/>
    <w:rsid w:val="00BB50F5"/>
    <w:rsid w:val="00BB6B34"/>
    <w:rsid w:val="00BC262F"/>
    <w:rsid w:val="00BC4EE1"/>
    <w:rsid w:val="00BC537C"/>
    <w:rsid w:val="00BC6DD7"/>
    <w:rsid w:val="00BD042A"/>
    <w:rsid w:val="00BE35E6"/>
    <w:rsid w:val="00BF3728"/>
    <w:rsid w:val="00C01365"/>
    <w:rsid w:val="00C02262"/>
    <w:rsid w:val="00C04540"/>
    <w:rsid w:val="00C10962"/>
    <w:rsid w:val="00C11577"/>
    <w:rsid w:val="00C135FA"/>
    <w:rsid w:val="00C201D7"/>
    <w:rsid w:val="00C22C7C"/>
    <w:rsid w:val="00C25240"/>
    <w:rsid w:val="00C25248"/>
    <w:rsid w:val="00C27E29"/>
    <w:rsid w:val="00C30673"/>
    <w:rsid w:val="00C40652"/>
    <w:rsid w:val="00C40E81"/>
    <w:rsid w:val="00C424D4"/>
    <w:rsid w:val="00C469F5"/>
    <w:rsid w:val="00C579CC"/>
    <w:rsid w:val="00C75FF2"/>
    <w:rsid w:val="00C81335"/>
    <w:rsid w:val="00C84DB9"/>
    <w:rsid w:val="00C8782B"/>
    <w:rsid w:val="00C94898"/>
    <w:rsid w:val="00CA16FB"/>
    <w:rsid w:val="00CA2557"/>
    <w:rsid w:val="00CA34DC"/>
    <w:rsid w:val="00CA3E19"/>
    <w:rsid w:val="00CA4A70"/>
    <w:rsid w:val="00CA72D6"/>
    <w:rsid w:val="00CB0083"/>
    <w:rsid w:val="00CB2D2D"/>
    <w:rsid w:val="00CB73B5"/>
    <w:rsid w:val="00CB7FD5"/>
    <w:rsid w:val="00CC0CE5"/>
    <w:rsid w:val="00CC543F"/>
    <w:rsid w:val="00CC623D"/>
    <w:rsid w:val="00CE4377"/>
    <w:rsid w:val="00CE46F4"/>
    <w:rsid w:val="00CE77F1"/>
    <w:rsid w:val="00CF0BE0"/>
    <w:rsid w:val="00D00DB5"/>
    <w:rsid w:val="00D02C05"/>
    <w:rsid w:val="00D0379E"/>
    <w:rsid w:val="00D10194"/>
    <w:rsid w:val="00D2357E"/>
    <w:rsid w:val="00D23F4D"/>
    <w:rsid w:val="00D31A48"/>
    <w:rsid w:val="00D3339E"/>
    <w:rsid w:val="00D34363"/>
    <w:rsid w:val="00D41B42"/>
    <w:rsid w:val="00D43FBF"/>
    <w:rsid w:val="00D46F73"/>
    <w:rsid w:val="00D509C7"/>
    <w:rsid w:val="00D552B5"/>
    <w:rsid w:val="00D56BD7"/>
    <w:rsid w:val="00D57B02"/>
    <w:rsid w:val="00D6036A"/>
    <w:rsid w:val="00D6417F"/>
    <w:rsid w:val="00D70918"/>
    <w:rsid w:val="00D71915"/>
    <w:rsid w:val="00D745C7"/>
    <w:rsid w:val="00D847F5"/>
    <w:rsid w:val="00D86345"/>
    <w:rsid w:val="00D86E30"/>
    <w:rsid w:val="00D86F48"/>
    <w:rsid w:val="00D92218"/>
    <w:rsid w:val="00D92F10"/>
    <w:rsid w:val="00D93C94"/>
    <w:rsid w:val="00D94060"/>
    <w:rsid w:val="00D94E5B"/>
    <w:rsid w:val="00D9623E"/>
    <w:rsid w:val="00DA1686"/>
    <w:rsid w:val="00DA4115"/>
    <w:rsid w:val="00DA44B0"/>
    <w:rsid w:val="00DB67B7"/>
    <w:rsid w:val="00DC15A1"/>
    <w:rsid w:val="00DC64DD"/>
    <w:rsid w:val="00DD4FBB"/>
    <w:rsid w:val="00DD6CEF"/>
    <w:rsid w:val="00DE141D"/>
    <w:rsid w:val="00DE2A86"/>
    <w:rsid w:val="00DF0784"/>
    <w:rsid w:val="00DF22EF"/>
    <w:rsid w:val="00DF6396"/>
    <w:rsid w:val="00DF7CF5"/>
    <w:rsid w:val="00E00879"/>
    <w:rsid w:val="00E01ACE"/>
    <w:rsid w:val="00E027FC"/>
    <w:rsid w:val="00E05BE0"/>
    <w:rsid w:val="00E05E94"/>
    <w:rsid w:val="00E172A1"/>
    <w:rsid w:val="00E262DE"/>
    <w:rsid w:val="00E267A2"/>
    <w:rsid w:val="00E278EF"/>
    <w:rsid w:val="00E34404"/>
    <w:rsid w:val="00E3520A"/>
    <w:rsid w:val="00E42B4A"/>
    <w:rsid w:val="00E43405"/>
    <w:rsid w:val="00E45E58"/>
    <w:rsid w:val="00E5013E"/>
    <w:rsid w:val="00E51151"/>
    <w:rsid w:val="00E541B1"/>
    <w:rsid w:val="00E54FE7"/>
    <w:rsid w:val="00E55EA3"/>
    <w:rsid w:val="00E56DEA"/>
    <w:rsid w:val="00E57D38"/>
    <w:rsid w:val="00E6046F"/>
    <w:rsid w:val="00E6614E"/>
    <w:rsid w:val="00E70CD9"/>
    <w:rsid w:val="00E74A2E"/>
    <w:rsid w:val="00E76A9E"/>
    <w:rsid w:val="00E817DD"/>
    <w:rsid w:val="00E85CA7"/>
    <w:rsid w:val="00E9653A"/>
    <w:rsid w:val="00E9769F"/>
    <w:rsid w:val="00E97FB3"/>
    <w:rsid w:val="00EB221B"/>
    <w:rsid w:val="00EB68EF"/>
    <w:rsid w:val="00EC53AC"/>
    <w:rsid w:val="00ED03CB"/>
    <w:rsid w:val="00ED0BC6"/>
    <w:rsid w:val="00ED503F"/>
    <w:rsid w:val="00ED671C"/>
    <w:rsid w:val="00EE05A6"/>
    <w:rsid w:val="00EF05DA"/>
    <w:rsid w:val="00EF16D9"/>
    <w:rsid w:val="00F00657"/>
    <w:rsid w:val="00F0273B"/>
    <w:rsid w:val="00F03E73"/>
    <w:rsid w:val="00F16476"/>
    <w:rsid w:val="00F22B09"/>
    <w:rsid w:val="00F24020"/>
    <w:rsid w:val="00F241FB"/>
    <w:rsid w:val="00F24BB6"/>
    <w:rsid w:val="00F25DF9"/>
    <w:rsid w:val="00F314D0"/>
    <w:rsid w:val="00F3321A"/>
    <w:rsid w:val="00F400EA"/>
    <w:rsid w:val="00F402D7"/>
    <w:rsid w:val="00F416AA"/>
    <w:rsid w:val="00F42E8D"/>
    <w:rsid w:val="00F44C86"/>
    <w:rsid w:val="00F458AB"/>
    <w:rsid w:val="00F50F35"/>
    <w:rsid w:val="00F55021"/>
    <w:rsid w:val="00F560BC"/>
    <w:rsid w:val="00F57584"/>
    <w:rsid w:val="00F57D8D"/>
    <w:rsid w:val="00F61E85"/>
    <w:rsid w:val="00F620A2"/>
    <w:rsid w:val="00F64A45"/>
    <w:rsid w:val="00F66812"/>
    <w:rsid w:val="00F67D5F"/>
    <w:rsid w:val="00F67E49"/>
    <w:rsid w:val="00F7076C"/>
    <w:rsid w:val="00F70D5B"/>
    <w:rsid w:val="00F82B8A"/>
    <w:rsid w:val="00F83C9B"/>
    <w:rsid w:val="00F84C47"/>
    <w:rsid w:val="00F85E78"/>
    <w:rsid w:val="00F86306"/>
    <w:rsid w:val="00F879E4"/>
    <w:rsid w:val="00F96014"/>
    <w:rsid w:val="00FA014F"/>
    <w:rsid w:val="00FA1E09"/>
    <w:rsid w:val="00FB07B8"/>
    <w:rsid w:val="00FC04F0"/>
    <w:rsid w:val="00FC139D"/>
    <w:rsid w:val="00FD2C2D"/>
    <w:rsid w:val="00FE084B"/>
    <w:rsid w:val="00FE7157"/>
    <w:rsid w:val="00FF6E37"/>
    <w:rsid w:val="01191DDF"/>
    <w:rsid w:val="03CE7CF1"/>
    <w:rsid w:val="0E4A266A"/>
    <w:rsid w:val="0EA61A53"/>
    <w:rsid w:val="199926F8"/>
    <w:rsid w:val="19A71026"/>
    <w:rsid w:val="1D7E7B9F"/>
    <w:rsid w:val="20580C17"/>
    <w:rsid w:val="261D3834"/>
    <w:rsid w:val="271D04C4"/>
    <w:rsid w:val="27D56FF1"/>
    <w:rsid w:val="28A013AD"/>
    <w:rsid w:val="290870F3"/>
    <w:rsid w:val="2BE47802"/>
    <w:rsid w:val="2EAD4823"/>
    <w:rsid w:val="30D51E0F"/>
    <w:rsid w:val="32894828"/>
    <w:rsid w:val="343C56C0"/>
    <w:rsid w:val="35505F08"/>
    <w:rsid w:val="38FD63A7"/>
    <w:rsid w:val="3EF142B8"/>
    <w:rsid w:val="45AF1EBC"/>
    <w:rsid w:val="55DB13C7"/>
    <w:rsid w:val="5A096502"/>
    <w:rsid w:val="5E155438"/>
    <w:rsid w:val="5F5C70D4"/>
    <w:rsid w:val="618005D7"/>
    <w:rsid w:val="61B431F8"/>
    <w:rsid w:val="624002F3"/>
    <w:rsid w:val="651A5A67"/>
    <w:rsid w:val="65436640"/>
    <w:rsid w:val="69992B92"/>
    <w:rsid w:val="70CA605B"/>
    <w:rsid w:val="7F7A5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Times New Roman" w:hAnsi="Times New Roman" w:eastAsia="宋体" w:cstheme="minorBidi"/>
      <w:kern w:val="2"/>
      <w:sz w:val="24"/>
      <w:szCs w:val="22"/>
      <w:lang w:val="en-US" w:eastAsia="zh-CN" w:bidi="ar-SA"/>
      <w14:ligatures w14:val="standardContextual"/>
    </w:rPr>
  </w:style>
  <w:style w:type="paragraph" w:styleId="2">
    <w:name w:val="heading 1"/>
    <w:basedOn w:val="1"/>
    <w:next w:val="1"/>
    <w:link w:val="32"/>
    <w:qFormat/>
    <w:uiPriority w:val="9"/>
    <w:pPr>
      <w:keepNext/>
      <w:keepLines/>
      <w:spacing w:line="360" w:lineRule="auto"/>
      <w:jc w:val="center"/>
      <w:outlineLvl w:val="0"/>
    </w:pPr>
    <w:rPr>
      <w:b/>
      <w:bCs/>
      <w:kern w:val="44"/>
      <w:sz w:val="28"/>
      <w:szCs w:val="44"/>
    </w:rPr>
  </w:style>
  <w:style w:type="paragraph" w:styleId="3">
    <w:name w:val="heading 2"/>
    <w:basedOn w:val="1"/>
    <w:next w:val="1"/>
    <w:link w:val="33"/>
    <w:unhideWhenUsed/>
    <w:qFormat/>
    <w:uiPriority w:val="9"/>
    <w:pPr>
      <w:keepNext/>
      <w:keepLines/>
      <w:ind w:firstLine="0" w:firstLineChars="0"/>
      <w:outlineLvl w:val="1"/>
    </w:pPr>
    <w:rPr>
      <w:rFonts w:cstheme="majorBidi"/>
      <w:b/>
      <w:bCs/>
      <w:szCs w:val="32"/>
    </w:rPr>
  </w:style>
  <w:style w:type="paragraph" w:styleId="4">
    <w:name w:val="heading 3"/>
    <w:basedOn w:val="1"/>
    <w:next w:val="1"/>
    <w:link w:val="36"/>
    <w:unhideWhenUsed/>
    <w:qFormat/>
    <w:uiPriority w:val="9"/>
    <w:pPr>
      <w:keepNext/>
      <w:keepLines/>
      <w:ind w:firstLine="0" w:firstLineChars="0"/>
      <w:outlineLvl w:val="2"/>
    </w:pPr>
    <w:rPr>
      <w:bCs/>
      <w:szCs w:val="32"/>
    </w:rPr>
  </w:style>
  <w:style w:type="paragraph" w:styleId="5">
    <w:name w:val="heading 4"/>
    <w:basedOn w:val="1"/>
    <w:next w:val="1"/>
    <w:link w:val="54"/>
    <w:semiHidden/>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sz w:val="21"/>
    </w:rPr>
  </w:style>
  <w:style w:type="paragraph" w:styleId="7">
    <w:name w:val="Normal Indent"/>
    <w:basedOn w:val="1"/>
    <w:unhideWhenUsed/>
    <w:qFormat/>
    <w:uiPriority w:val="0"/>
    <w:pPr>
      <w:spacing w:line="500" w:lineRule="exact"/>
      <w:ind w:firstLine="420"/>
    </w:pPr>
    <w:rPr>
      <w:rFonts w:ascii="宋体" w:hAnsi="宋体" w:eastAsiaTheme="minorEastAsia"/>
      <w:kern w:val="0"/>
      <w:sz w:val="20"/>
      <w:szCs w:val="24"/>
      <w14:ligatures w14:val="none"/>
    </w:rPr>
  </w:style>
  <w:style w:type="paragraph" w:styleId="8">
    <w:name w:val="Body Text"/>
    <w:basedOn w:val="1"/>
    <w:link w:val="51"/>
    <w:autoRedefine/>
    <w:qFormat/>
    <w:uiPriority w:val="0"/>
    <w:pPr>
      <w:spacing w:after="120" w:line="240" w:lineRule="auto"/>
      <w:ind w:firstLine="0" w:firstLineChars="0"/>
    </w:pPr>
    <w:rPr>
      <w:rFonts w:cs="Times New Roman"/>
      <w:sz w:val="21"/>
      <w:szCs w:val="24"/>
      <w14:ligatures w14:val="none"/>
    </w:rPr>
  </w:style>
  <w:style w:type="paragraph" w:styleId="9">
    <w:name w:val="Body Text Indent"/>
    <w:basedOn w:val="1"/>
    <w:link w:val="38"/>
    <w:semiHidden/>
    <w:unhideWhenUsed/>
    <w:qFormat/>
    <w:uiPriority w:val="99"/>
    <w:pPr>
      <w:spacing w:after="120"/>
      <w:ind w:left="420" w:leftChars="200"/>
    </w:pPr>
  </w:style>
  <w:style w:type="paragraph" w:styleId="10">
    <w:name w:val="List 2"/>
    <w:basedOn w:val="1"/>
    <w:unhideWhenUsed/>
    <w:qFormat/>
    <w:uiPriority w:val="99"/>
    <w:pPr>
      <w:spacing w:line="240" w:lineRule="auto"/>
      <w:ind w:left="100" w:leftChars="200" w:hanging="200" w:hangingChars="200"/>
    </w:pPr>
    <w:rPr>
      <w:rFonts w:cs="Times New Roman"/>
      <w:sz w:val="21"/>
      <w:szCs w:val="24"/>
      <w14:ligatures w14:val="none"/>
    </w:rPr>
  </w:style>
  <w:style w:type="paragraph" w:styleId="11">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sz w:val="21"/>
    </w:rPr>
  </w:style>
  <w:style w:type="paragraph" w:styleId="12">
    <w:name w:val="toc 3"/>
    <w:basedOn w:val="1"/>
    <w:next w:val="1"/>
    <w:autoRedefine/>
    <w:unhideWhenUsed/>
    <w:qFormat/>
    <w:uiPriority w:val="39"/>
    <w:pPr>
      <w:ind w:left="840" w:leftChars="400"/>
    </w:pPr>
  </w:style>
  <w:style w:type="paragraph" w:styleId="13">
    <w:name w:val="Plain Text"/>
    <w:basedOn w:val="1"/>
    <w:link w:val="41"/>
    <w:qFormat/>
    <w:uiPriority w:val="0"/>
    <w:pPr>
      <w:spacing w:line="240" w:lineRule="auto"/>
      <w:ind w:firstLine="0" w:firstLineChars="0"/>
    </w:pPr>
    <w:rPr>
      <w:rFonts w:ascii="宋体" w:hAnsi="Courier New" w:cs="Times New Roman"/>
      <w:szCs w:val="20"/>
      <w14:ligatures w14:val="none"/>
    </w:rPr>
  </w:style>
  <w:style w:type="paragraph" w:styleId="14">
    <w:name w:val="toc 8"/>
    <w:basedOn w:val="1"/>
    <w:next w:val="1"/>
    <w:unhideWhenUsed/>
    <w:qFormat/>
    <w:uiPriority w:val="39"/>
    <w:pPr>
      <w:spacing w:line="240" w:lineRule="auto"/>
      <w:ind w:left="2940" w:leftChars="1400" w:firstLine="0" w:firstLineChars="0"/>
    </w:pPr>
    <w:rPr>
      <w:rFonts w:ascii="Calibri" w:hAnsi="Calibri" w:cs="Times New Roman"/>
      <w:sz w:val="21"/>
      <w14:ligatures w14:val="none"/>
    </w:rPr>
  </w:style>
  <w:style w:type="paragraph" w:styleId="15">
    <w:name w:val="Date"/>
    <w:basedOn w:val="1"/>
    <w:next w:val="1"/>
    <w:link w:val="48"/>
    <w:semiHidden/>
    <w:unhideWhenUsed/>
    <w:qFormat/>
    <w:uiPriority w:val="99"/>
    <w:pPr>
      <w:ind w:left="100" w:leftChars="2500"/>
    </w:pPr>
  </w:style>
  <w:style w:type="paragraph" w:styleId="16">
    <w:name w:val="Balloon Text"/>
    <w:basedOn w:val="1"/>
    <w:link w:val="55"/>
    <w:semiHidden/>
    <w:unhideWhenUsed/>
    <w:qFormat/>
    <w:uiPriority w:val="99"/>
    <w:pPr>
      <w:spacing w:line="240" w:lineRule="auto"/>
    </w:pPr>
    <w:rPr>
      <w:sz w:val="18"/>
      <w:szCs w:val="18"/>
    </w:rPr>
  </w:style>
  <w:style w:type="paragraph" w:styleId="17">
    <w:name w:val="footer"/>
    <w:basedOn w:val="1"/>
    <w:link w:val="35"/>
    <w:unhideWhenUsed/>
    <w:qFormat/>
    <w:uiPriority w:val="99"/>
    <w:pPr>
      <w:tabs>
        <w:tab w:val="center" w:pos="4153"/>
        <w:tab w:val="right" w:pos="8306"/>
      </w:tabs>
      <w:snapToGrid w:val="0"/>
      <w:spacing w:line="240" w:lineRule="atLeast"/>
      <w:jc w:val="left"/>
    </w:pPr>
    <w:rPr>
      <w:sz w:val="18"/>
      <w:szCs w:val="18"/>
    </w:rPr>
  </w:style>
  <w:style w:type="paragraph" w:styleId="18">
    <w:name w:val="header"/>
    <w:basedOn w:val="1"/>
    <w:link w:val="34"/>
    <w:unhideWhenUsed/>
    <w:qFormat/>
    <w:uiPriority w:val="99"/>
    <w:pPr>
      <w:tabs>
        <w:tab w:val="center" w:pos="4153"/>
        <w:tab w:val="right" w:pos="8306"/>
      </w:tabs>
      <w:snapToGrid w:val="0"/>
      <w:spacing w:line="240" w:lineRule="atLeast"/>
      <w:jc w:val="center"/>
    </w:pPr>
    <w:rPr>
      <w:sz w:val="18"/>
      <w:szCs w:val="18"/>
    </w:rPr>
  </w:style>
  <w:style w:type="paragraph" w:styleId="19">
    <w:name w:val="toc 1"/>
    <w:basedOn w:val="1"/>
    <w:next w:val="1"/>
    <w:qFormat/>
    <w:uiPriority w:val="39"/>
    <w:pPr>
      <w:spacing w:line="240" w:lineRule="auto"/>
      <w:ind w:firstLine="0" w:firstLineChars="0"/>
    </w:pPr>
    <w:rPr>
      <w:rFonts w:cs="Times New Roman"/>
      <w:szCs w:val="24"/>
      <w14:ligatures w14:val="none"/>
    </w:rPr>
  </w:style>
  <w:style w:type="paragraph" w:styleId="20">
    <w:name w:val="toc 4"/>
    <w:basedOn w:val="1"/>
    <w:next w:val="1"/>
    <w:autoRedefine/>
    <w:unhideWhenUsed/>
    <w:qFormat/>
    <w:uiPriority w:val="39"/>
    <w:pPr>
      <w:spacing w:line="240" w:lineRule="auto"/>
      <w:ind w:left="1260" w:leftChars="600" w:firstLine="0" w:firstLineChars="0"/>
    </w:pPr>
    <w:rPr>
      <w:rFonts w:asciiTheme="minorHAnsi" w:hAnsiTheme="minorHAnsi" w:eastAsiaTheme="minorEastAsia"/>
      <w:sz w:val="21"/>
    </w:rPr>
  </w:style>
  <w:style w:type="paragraph" w:styleId="21">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sz w:val="21"/>
    </w:rPr>
  </w:style>
  <w:style w:type="paragraph" w:styleId="22">
    <w:name w:val="toc 2"/>
    <w:basedOn w:val="1"/>
    <w:next w:val="1"/>
    <w:autoRedefine/>
    <w:unhideWhenUsed/>
    <w:qFormat/>
    <w:uiPriority w:val="39"/>
  </w:style>
  <w:style w:type="paragraph" w:styleId="23">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sz w:val="21"/>
    </w:rPr>
  </w:style>
  <w:style w:type="paragraph" w:styleId="24">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cs="宋体"/>
      <w:kern w:val="0"/>
      <w:szCs w:val="24"/>
      <w14:ligatures w14:val="none"/>
    </w:rPr>
  </w:style>
  <w:style w:type="paragraph" w:styleId="25">
    <w:name w:val="Body Text First Indent 2"/>
    <w:basedOn w:val="9"/>
    <w:link w:val="39"/>
    <w:qFormat/>
    <w:uiPriority w:val="0"/>
    <w:pPr>
      <w:spacing w:line="500" w:lineRule="exact"/>
      <w:ind w:firstLine="420"/>
    </w:pPr>
    <w:rPr>
      <w:rFonts w:cs="Times New Roman" w:eastAsiaTheme="minorEastAsia"/>
      <w:sz w:val="28"/>
      <w:szCs w:val="24"/>
      <w14:ligatures w14:val="none"/>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22"/>
    <w:rPr>
      <w:b/>
      <w:bCs/>
    </w:rPr>
  </w:style>
  <w:style w:type="character" w:styleId="30">
    <w:name w:val="Emphasis"/>
    <w:basedOn w:val="28"/>
    <w:qFormat/>
    <w:uiPriority w:val="20"/>
  </w:style>
  <w:style w:type="character" w:styleId="31">
    <w:name w:val="Hyperlink"/>
    <w:basedOn w:val="28"/>
    <w:unhideWhenUsed/>
    <w:qFormat/>
    <w:uiPriority w:val="99"/>
    <w:rPr>
      <w:color w:val="0563C1" w:themeColor="hyperlink"/>
      <w:u w:val="single"/>
      <w14:textFill>
        <w14:solidFill>
          <w14:schemeClr w14:val="hlink"/>
        </w14:solidFill>
      </w14:textFill>
    </w:rPr>
  </w:style>
  <w:style w:type="character" w:customStyle="1" w:styleId="32">
    <w:name w:val="标题 1 Char"/>
    <w:basedOn w:val="28"/>
    <w:link w:val="2"/>
    <w:qFormat/>
    <w:uiPriority w:val="9"/>
    <w:rPr>
      <w:rFonts w:ascii="Times New Roman" w:hAnsi="Times New Roman" w:eastAsia="宋体"/>
      <w:b/>
      <w:bCs/>
      <w:kern w:val="44"/>
      <w:sz w:val="28"/>
      <w:szCs w:val="44"/>
    </w:rPr>
  </w:style>
  <w:style w:type="character" w:customStyle="1" w:styleId="33">
    <w:name w:val="标题 2 Char"/>
    <w:basedOn w:val="28"/>
    <w:link w:val="3"/>
    <w:qFormat/>
    <w:uiPriority w:val="9"/>
    <w:rPr>
      <w:rFonts w:ascii="Times New Roman" w:hAnsi="Times New Roman" w:eastAsia="宋体" w:cstheme="majorBidi"/>
      <w:b/>
      <w:bCs/>
      <w:sz w:val="28"/>
      <w:szCs w:val="32"/>
    </w:rPr>
  </w:style>
  <w:style w:type="character" w:customStyle="1" w:styleId="34">
    <w:name w:val="页眉 Char"/>
    <w:basedOn w:val="28"/>
    <w:link w:val="18"/>
    <w:qFormat/>
    <w:uiPriority w:val="99"/>
    <w:rPr>
      <w:rFonts w:ascii="Times New Roman" w:hAnsi="Times New Roman" w:eastAsia="宋体"/>
      <w:sz w:val="18"/>
      <w:szCs w:val="18"/>
    </w:rPr>
  </w:style>
  <w:style w:type="character" w:customStyle="1" w:styleId="35">
    <w:name w:val="页脚 Char"/>
    <w:basedOn w:val="28"/>
    <w:link w:val="17"/>
    <w:qFormat/>
    <w:uiPriority w:val="99"/>
    <w:rPr>
      <w:rFonts w:ascii="Times New Roman" w:hAnsi="Times New Roman" w:eastAsia="宋体"/>
      <w:sz w:val="18"/>
      <w:szCs w:val="18"/>
    </w:rPr>
  </w:style>
  <w:style w:type="character" w:customStyle="1" w:styleId="36">
    <w:name w:val="标题 3 Char"/>
    <w:basedOn w:val="28"/>
    <w:link w:val="4"/>
    <w:qFormat/>
    <w:uiPriority w:val="9"/>
    <w:rPr>
      <w:rFonts w:ascii="Times New Roman" w:hAnsi="Times New Roman" w:eastAsia="宋体"/>
      <w:bCs/>
      <w:sz w:val="24"/>
      <w:szCs w:val="32"/>
    </w:rPr>
  </w:style>
  <w:style w:type="paragraph" w:styleId="37">
    <w:name w:val="List Paragraph"/>
    <w:basedOn w:val="1"/>
    <w:qFormat/>
    <w:uiPriority w:val="34"/>
    <w:pPr>
      <w:ind w:firstLine="420"/>
    </w:pPr>
  </w:style>
  <w:style w:type="character" w:customStyle="1" w:styleId="38">
    <w:name w:val="正文文本缩进 Char"/>
    <w:basedOn w:val="28"/>
    <w:link w:val="9"/>
    <w:semiHidden/>
    <w:qFormat/>
    <w:uiPriority w:val="99"/>
    <w:rPr>
      <w:rFonts w:ascii="Times New Roman" w:hAnsi="Times New Roman" w:eastAsia="宋体"/>
      <w:sz w:val="24"/>
    </w:rPr>
  </w:style>
  <w:style w:type="character" w:customStyle="1" w:styleId="39">
    <w:name w:val="正文首行缩进 2 Char"/>
    <w:basedOn w:val="38"/>
    <w:link w:val="25"/>
    <w:qFormat/>
    <w:uiPriority w:val="0"/>
    <w:rPr>
      <w:rFonts w:ascii="Times New Roman" w:hAnsi="Times New Roman" w:eastAsia="宋体" w:cs="Times New Roman"/>
      <w:sz w:val="28"/>
      <w:szCs w:val="24"/>
      <w14:ligatures w14:val="none"/>
    </w:rPr>
  </w:style>
  <w:style w:type="character" w:customStyle="1" w:styleId="40">
    <w:name w:val="标题 #2 + 间距 0 pt"/>
    <w:basedOn w:val="28"/>
    <w:qFormat/>
    <w:uiPriority w:val="99"/>
    <w:rPr>
      <w:rFonts w:ascii="MingLiU" w:hAnsi="MingLiU" w:eastAsia="MingLiU" w:cs="MingLiU"/>
      <w:color w:val="000000"/>
      <w:spacing w:val="0"/>
      <w:w w:val="100"/>
      <w:position w:val="0"/>
      <w:sz w:val="32"/>
      <w:szCs w:val="32"/>
      <w:u w:val="none"/>
      <w:shd w:val="clear" w:color="auto" w:fill="FFFFFF"/>
      <w:lang w:val="zh-TW" w:eastAsia="zh-TW"/>
    </w:rPr>
  </w:style>
  <w:style w:type="character" w:customStyle="1" w:styleId="41">
    <w:name w:val="纯文本 Char"/>
    <w:basedOn w:val="28"/>
    <w:link w:val="13"/>
    <w:qFormat/>
    <w:uiPriority w:val="0"/>
    <w:rPr>
      <w:rFonts w:ascii="宋体" w:hAnsi="Courier New" w:eastAsia="宋体" w:cs="Times New Roman"/>
      <w:sz w:val="24"/>
      <w:szCs w:val="20"/>
      <w14:ligatures w14:val="none"/>
    </w:rPr>
  </w:style>
  <w:style w:type="table" w:customStyle="1" w:styleId="42">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43">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宋体" w:hAnsi="宋体" w:cs="宋体"/>
      <w:snapToGrid w:val="0"/>
      <w:color w:val="000000"/>
      <w:kern w:val="0"/>
      <w:sz w:val="21"/>
      <w:szCs w:val="21"/>
      <w:lang w:eastAsia="en-US"/>
      <w14:ligatures w14:val="none"/>
    </w:rPr>
  </w:style>
  <w:style w:type="paragraph" w:customStyle="1" w:styleId="44">
    <w:name w:val="样式1"/>
    <w:basedOn w:val="1"/>
    <w:qFormat/>
    <w:uiPriority w:val="0"/>
    <w:pPr>
      <w:spacing w:line="480" w:lineRule="exact"/>
    </w:pPr>
    <w:rPr>
      <w:rFonts w:asciiTheme="minorHAnsi" w:hAnsiTheme="minorHAnsi"/>
      <w:spacing w:val="6"/>
      <w:sz w:val="28"/>
      <w:szCs w:val="24"/>
      <w14:ligatures w14:val="none"/>
    </w:rPr>
  </w:style>
  <w:style w:type="paragraph" w:customStyle="1" w:styleId="45">
    <w:name w:val="正文1"/>
    <w:basedOn w:val="1"/>
    <w:qFormat/>
    <w:uiPriority w:val="0"/>
    <w:pPr>
      <w:spacing w:line="500" w:lineRule="exact"/>
      <w:ind w:firstLine="0" w:firstLineChars="0"/>
    </w:pPr>
    <w:rPr>
      <w:rFonts w:asciiTheme="minorHAnsi" w:hAnsiTheme="minorHAnsi" w:eastAsiaTheme="minorEastAsia"/>
      <w:sz w:val="28"/>
      <w:szCs w:val="24"/>
      <w14:ligatures w14:val="none"/>
    </w:rPr>
  </w:style>
  <w:style w:type="paragraph" w:customStyle="1" w:styleId="46">
    <w:name w:val="TOC 标题1"/>
    <w:basedOn w:val="2"/>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14:ligatures w14:val="none"/>
    </w:rPr>
  </w:style>
  <w:style w:type="character" w:customStyle="1" w:styleId="47">
    <w:name w:val="Unresolved Mention"/>
    <w:basedOn w:val="28"/>
    <w:semiHidden/>
    <w:unhideWhenUsed/>
    <w:qFormat/>
    <w:uiPriority w:val="99"/>
    <w:rPr>
      <w:color w:val="605E5C"/>
      <w:shd w:val="clear" w:color="auto" w:fill="E1DFDD"/>
    </w:rPr>
  </w:style>
  <w:style w:type="character" w:customStyle="1" w:styleId="48">
    <w:name w:val="日期 Char"/>
    <w:basedOn w:val="28"/>
    <w:link w:val="15"/>
    <w:semiHidden/>
    <w:qFormat/>
    <w:uiPriority w:val="99"/>
    <w:rPr>
      <w:rFonts w:ascii="Times New Roman" w:hAnsi="Times New Roman" w:eastAsia="宋体"/>
      <w:sz w:val="24"/>
    </w:rPr>
  </w:style>
  <w:style w:type="character" w:customStyle="1" w:styleId="49">
    <w:name w:val="font11"/>
    <w:basedOn w:val="28"/>
    <w:autoRedefine/>
    <w:qFormat/>
    <w:uiPriority w:val="0"/>
    <w:rPr>
      <w:rFonts w:hint="eastAsia" w:ascii="仿宋" w:hAnsi="仿宋" w:eastAsia="仿宋" w:cs="仿宋"/>
      <w:color w:val="000000"/>
      <w:sz w:val="20"/>
      <w:szCs w:val="20"/>
      <w:u w:val="none"/>
    </w:rPr>
  </w:style>
  <w:style w:type="character" w:customStyle="1" w:styleId="50">
    <w:name w:val="font31"/>
    <w:basedOn w:val="28"/>
    <w:autoRedefine/>
    <w:qFormat/>
    <w:uiPriority w:val="0"/>
    <w:rPr>
      <w:rFonts w:ascii="Calibri" w:hAnsi="Calibri" w:cs="Calibri"/>
      <w:color w:val="000000"/>
      <w:sz w:val="24"/>
      <w:szCs w:val="24"/>
      <w:u w:val="none"/>
    </w:rPr>
  </w:style>
  <w:style w:type="character" w:customStyle="1" w:styleId="51">
    <w:name w:val="正文文本 Char"/>
    <w:basedOn w:val="28"/>
    <w:link w:val="8"/>
    <w:qFormat/>
    <w:uiPriority w:val="0"/>
    <w:rPr>
      <w:rFonts w:ascii="Times New Roman" w:hAnsi="Times New Roman" w:eastAsia="宋体" w:cs="Times New Roman"/>
      <w:szCs w:val="24"/>
      <w14:ligatures w14:val="none"/>
    </w:rPr>
  </w:style>
  <w:style w:type="paragraph" w:customStyle="1" w:styleId="52">
    <w:name w:val="第四层"/>
    <w:basedOn w:val="5"/>
    <w:link w:val="53"/>
    <w:qFormat/>
    <w:uiPriority w:val="0"/>
    <w:pPr>
      <w:spacing w:line="360" w:lineRule="auto"/>
      <w:ind w:firstLine="118" w:firstLineChars="49"/>
    </w:pPr>
    <w:rPr>
      <w:rFonts w:ascii="宋体" w:hAnsi="宋体" w:eastAsia="黑体" w:cs="Times New Roman"/>
      <w:b w:val="0"/>
      <w:sz w:val="24"/>
      <w14:ligatures w14:val="none"/>
    </w:rPr>
  </w:style>
  <w:style w:type="character" w:customStyle="1" w:styleId="53">
    <w:name w:val="第四层 Char"/>
    <w:link w:val="52"/>
    <w:autoRedefine/>
    <w:qFormat/>
    <w:uiPriority w:val="0"/>
    <w:rPr>
      <w:rFonts w:ascii="宋体" w:hAnsi="宋体" w:eastAsia="黑体" w:cs="Times New Roman"/>
      <w:bCs/>
      <w:sz w:val="24"/>
      <w:szCs w:val="28"/>
      <w14:ligatures w14:val="none"/>
    </w:rPr>
  </w:style>
  <w:style w:type="character" w:customStyle="1" w:styleId="54">
    <w:name w:val="标题 4 Char"/>
    <w:basedOn w:val="28"/>
    <w:link w:val="5"/>
    <w:semiHidden/>
    <w:qFormat/>
    <w:uiPriority w:val="9"/>
    <w:rPr>
      <w:rFonts w:asciiTheme="majorHAnsi" w:hAnsiTheme="majorHAnsi" w:eastAsiaTheme="majorEastAsia" w:cstheme="majorBidi"/>
      <w:b/>
      <w:bCs/>
      <w:sz w:val="28"/>
      <w:szCs w:val="28"/>
    </w:rPr>
  </w:style>
  <w:style w:type="character" w:customStyle="1" w:styleId="55">
    <w:name w:val="批注框文本 Char"/>
    <w:basedOn w:val="28"/>
    <w:link w:val="16"/>
    <w:semiHidden/>
    <w:qFormat/>
    <w:uiPriority w:val="99"/>
    <w:rPr>
      <w:rFonts w:cstheme="minorBidi"/>
      <w:kern w:val="2"/>
      <w:sz w:val="18"/>
      <w:szCs w:val="18"/>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EFB1-DCEC-442D-960E-4BAE455C7CB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4060</Words>
  <Characters>4514</Characters>
  <Lines>139</Lines>
  <Paragraphs>39</Paragraphs>
  <TotalTime>1</TotalTime>
  <ScaleCrop>false</ScaleCrop>
  <LinksUpToDate>false</LinksUpToDate>
  <CharactersWithSpaces>4552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2024-10-23T00:52:00Z</dcterms:created>
  <dc:creator>小发 王</dc:creator>
  <cp:lastModifiedBy>王辉</cp:lastModifiedBy>
  <cp:lastPrinted>2024-10-24T07:31:00Z</cp:lastPrinted>
  <dcterms:modified xsi:type="dcterms:W3CDTF">2026-07-27T03:15:34Z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eyJoZGlkIjoiNzQ3NjQwOTM4MmY2NzU4Y2I2ZGZmNzA1ZTYyNjhmZjQiLCJ1c2VySWQiOiIxMjU4ODk4MzAwIn0=</vt:lpwstr>
  </property>
  <property fmtid="{D5CDD505-2E9C-101B-9397-08002B2CF9AE}" pid="3" name="KSOProductBuildVer">
    <vt:lpwstr>2052-12.1.0.26895</vt:lpwstr>
  </property>
  <property fmtid="{D5CDD505-2E9C-101B-9397-08002B2CF9AE}" pid="4" name="ICV">
    <vt:lpwstr>6C6291F7621B45AC9265162F760FDB65_13</vt:lpwstr>
  </property>
</Properties>
</file>